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98" w:rsidRPr="001B7498" w:rsidRDefault="001B7498" w:rsidP="00A64808">
      <w:pPr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7498">
        <w:rPr>
          <w:i/>
          <w:u w:val="single"/>
        </w:rPr>
        <w:t>Appendix 1</w:t>
      </w:r>
      <w:r>
        <w:rPr>
          <w:i/>
          <w:u w:val="single"/>
        </w:rPr>
        <w:t xml:space="preserve"> </w:t>
      </w:r>
      <w:r w:rsidRPr="001B7498">
        <w:rPr>
          <w:i/>
          <w:u w:val="single"/>
          <w:vertAlign w:val="superscript"/>
        </w:rPr>
        <w:t>(1)</w:t>
      </w:r>
    </w:p>
    <w:p w:rsidR="001B7498" w:rsidRDefault="001B7498" w:rsidP="001B7498">
      <w:r>
        <w:t xml:space="preserve">GATEWAY SIGNAGE PROJECT BUDGET </w:t>
      </w:r>
      <w:proofErr w:type="gramStart"/>
      <w:r>
        <w:t>COSTS  2015</w:t>
      </w:r>
      <w:proofErr w:type="gramEnd"/>
      <w:r>
        <w:t xml:space="preserve"> – 2016</w:t>
      </w:r>
    </w:p>
    <w:p w:rsidR="00A64808" w:rsidRPr="00895E6A" w:rsidRDefault="00A64808" w:rsidP="00A64808">
      <w:pPr>
        <w:rPr>
          <w:rFonts w:cs="Tahoma"/>
          <w:b/>
          <w:i/>
          <w:u w:val="single"/>
        </w:rPr>
      </w:pPr>
      <w:r w:rsidRPr="00895E6A">
        <w:rPr>
          <w:rFonts w:cs="Tahoma"/>
          <w:b/>
          <w:i/>
          <w:u w:val="single"/>
        </w:rPr>
        <w:t>Breakdown of Road</w:t>
      </w:r>
      <w:r w:rsidR="001B7498">
        <w:rPr>
          <w:rFonts w:cs="Tahoma"/>
          <w:b/>
          <w:i/>
          <w:u w:val="single"/>
        </w:rPr>
        <w:t>s devolved budget</w:t>
      </w:r>
      <w:r w:rsidRPr="00895E6A">
        <w:rPr>
          <w:rFonts w:cs="Tahoma"/>
          <w:b/>
          <w:i/>
          <w:u w:val="single"/>
        </w:rPr>
        <w:t xml:space="preserve"> – gateway project</w:t>
      </w:r>
      <w:r w:rsidRPr="00895E6A">
        <w:rPr>
          <w:rFonts w:cs="Tahoma"/>
        </w:rPr>
        <w:tab/>
      </w:r>
      <w:r w:rsidRPr="00895E6A">
        <w:rPr>
          <w:rFonts w:cs="Tahoma"/>
          <w:b/>
        </w:rPr>
        <w:tab/>
      </w:r>
      <w:r w:rsidRPr="00895E6A">
        <w:rPr>
          <w:rFonts w:cs="Tahoma"/>
          <w:b/>
        </w:rPr>
        <w:tab/>
      </w:r>
      <w:r w:rsidRPr="00895E6A">
        <w:rPr>
          <w:rFonts w:cs="Tahoma"/>
          <w:b/>
        </w:rPr>
        <w:tab/>
      </w:r>
      <w:r w:rsidRPr="00895E6A">
        <w:rPr>
          <w:rFonts w:cs="Tahoma"/>
        </w:rPr>
        <w:tab/>
      </w:r>
      <w:r w:rsidRPr="00895E6A">
        <w:rPr>
          <w:rFonts w:cs="Tahoma"/>
        </w:rPr>
        <w:tab/>
      </w:r>
      <w:r w:rsidRPr="00895E6A">
        <w:rPr>
          <w:rFonts w:cs="Tahoma"/>
          <w:b/>
          <w:color w:val="00B050"/>
        </w:rPr>
        <w:tab/>
      </w:r>
      <w:r w:rsidRPr="00895E6A">
        <w:rPr>
          <w:rFonts w:cs="Tahoma"/>
          <w:b/>
          <w:color w:val="00B050"/>
        </w:rPr>
        <w:tab/>
      </w:r>
      <w:r w:rsidRPr="00895E6A">
        <w:rPr>
          <w:rFonts w:cs="Tahoma"/>
          <w:b/>
          <w:color w:val="00B050"/>
        </w:rPr>
        <w:tab/>
      </w:r>
    </w:p>
    <w:tbl>
      <w:tblPr>
        <w:tblStyle w:val="TableGrid"/>
        <w:tblW w:w="0" w:type="auto"/>
        <w:tblInd w:w="108" w:type="dxa"/>
        <w:tblLook w:val="04A0"/>
      </w:tblPr>
      <w:tblGrid>
        <w:gridCol w:w="2432"/>
        <w:gridCol w:w="2425"/>
        <w:gridCol w:w="2143"/>
        <w:gridCol w:w="2100"/>
      </w:tblGrid>
      <w:tr w:rsidR="00A64808" w:rsidRPr="00895E6A" w:rsidTr="001B7498">
        <w:tc>
          <w:tcPr>
            <w:tcW w:w="2432" w:type="dxa"/>
            <w:shd w:val="clear" w:color="auto" w:fill="BFBFBF" w:themeFill="background1" w:themeFillShade="BF"/>
          </w:tcPr>
          <w:p w:rsidR="00A64808" w:rsidRPr="00895E6A" w:rsidRDefault="00A64808" w:rsidP="001B7498">
            <w:pPr>
              <w:ind w:left="34"/>
              <w:rPr>
                <w:b/>
              </w:rPr>
            </w:pPr>
            <w:r w:rsidRPr="00895E6A">
              <w:rPr>
                <w:rFonts w:cs="Tahoma"/>
                <w:b/>
              </w:rPr>
              <w:t>Item</w:t>
            </w:r>
            <w:r w:rsidRPr="00895E6A">
              <w:rPr>
                <w:rFonts w:cs="Tahoma"/>
                <w:b/>
              </w:rPr>
              <w:tab/>
            </w:r>
          </w:p>
        </w:tc>
        <w:tc>
          <w:tcPr>
            <w:tcW w:w="2425" w:type="dxa"/>
            <w:shd w:val="clear" w:color="auto" w:fill="BFBFBF" w:themeFill="background1" w:themeFillShade="BF"/>
          </w:tcPr>
          <w:p w:rsidR="00A64808" w:rsidRPr="00895E6A" w:rsidRDefault="00A64808" w:rsidP="001B7498">
            <w:pPr>
              <w:tabs>
                <w:tab w:val="left" w:pos="1530"/>
              </w:tabs>
              <w:ind w:left="34"/>
              <w:rPr>
                <w:b/>
              </w:rPr>
            </w:pPr>
            <w:r w:rsidRPr="00895E6A">
              <w:rPr>
                <w:b/>
              </w:rPr>
              <w:t>Number of Items</w:t>
            </w:r>
          </w:p>
        </w:tc>
        <w:tc>
          <w:tcPr>
            <w:tcW w:w="2143" w:type="dxa"/>
            <w:shd w:val="clear" w:color="auto" w:fill="BFBFBF" w:themeFill="background1" w:themeFillShade="BF"/>
          </w:tcPr>
          <w:p w:rsidR="00A64808" w:rsidRPr="00895E6A" w:rsidRDefault="00A64808" w:rsidP="001B7498">
            <w:pPr>
              <w:tabs>
                <w:tab w:val="left" w:pos="1530"/>
              </w:tabs>
              <w:ind w:left="34"/>
              <w:rPr>
                <w:b/>
              </w:rPr>
            </w:pPr>
            <w:proofErr w:type="spellStart"/>
            <w:r w:rsidRPr="00895E6A">
              <w:rPr>
                <w:b/>
              </w:rPr>
              <w:t>Sub total</w:t>
            </w:r>
            <w:proofErr w:type="spellEnd"/>
            <w:r w:rsidRPr="00895E6A">
              <w:rPr>
                <w:b/>
              </w:rPr>
              <w:t xml:space="preserve"> of items</w:t>
            </w:r>
          </w:p>
        </w:tc>
        <w:tc>
          <w:tcPr>
            <w:tcW w:w="2100" w:type="dxa"/>
            <w:shd w:val="clear" w:color="auto" w:fill="BFBFBF" w:themeFill="background1" w:themeFillShade="BF"/>
          </w:tcPr>
          <w:p w:rsidR="00A64808" w:rsidRPr="00895E6A" w:rsidRDefault="00A64808" w:rsidP="001B7498">
            <w:pPr>
              <w:tabs>
                <w:tab w:val="left" w:pos="1530"/>
              </w:tabs>
              <w:ind w:left="34"/>
              <w:rPr>
                <w:b/>
              </w:rPr>
            </w:pPr>
            <w:r w:rsidRPr="00895E6A">
              <w:rPr>
                <w:b/>
              </w:rPr>
              <w:t>Comment</w:t>
            </w:r>
          </w:p>
        </w:tc>
      </w:tr>
      <w:tr w:rsidR="00A64808" w:rsidRPr="00895E6A" w:rsidTr="001B7498">
        <w:tc>
          <w:tcPr>
            <w:tcW w:w="2432" w:type="dxa"/>
          </w:tcPr>
          <w:p w:rsidR="00A64808" w:rsidRPr="00895E6A" w:rsidRDefault="00A64808" w:rsidP="001B7498">
            <w:pPr>
              <w:tabs>
                <w:tab w:val="left" w:pos="34"/>
              </w:tabs>
              <w:ind w:left="34"/>
            </w:pPr>
            <w:r w:rsidRPr="00895E6A">
              <w:rPr>
                <w:rFonts w:cs="Tahoma"/>
              </w:rPr>
              <w:t>Gateway signs</w:t>
            </w:r>
            <w:r w:rsidRPr="00895E6A">
              <w:rPr>
                <w:rFonts w:cs="Tahoma"/>
              </w:rPr>
              <w:tab/>
            </w:r>
            <w:r w:rsidR="00101F58">
              <w:rPr>
                <w:rFonts w:cs="Tahoma"/>
              </w:rPr>
              <w:t>(across Fa’side area partnership)</w:t>
            </w:r>
            <w:r w:rsidRPr="00895E6A">
              <w:rPr>
                <w:rFonts w:cs="Tahoma"/>
              </w:rPr>
              <w:tab/>
            </w:r>
            <w:r w:rsidRPr="00895E6A">
              <w:rPr>
                <w:rFonts w:cs="Tahoma"/>
              </w:rPr>
              <w:tab/>
            </w:r>
            <w:r w:rsidRPr="00895E6A">
              <w:rPr>
                <w:rFonts w:cs="Tahoma"/>
              </w:rPr>
              <w:tab/>
            </w:r>
            <w:r w:rsidRPr="00895E6A">
              <w:rPr>
                <w:rFonts w:cs="Tahoma"/>
              </w:rPr>
              <w:tab/>
            </w:r>
            <w:r w:rsidRPr="00895E6A">
              <w:rPr>
                <w:rFonts w:cs="Tahoma"/>
              </w:rPr>
              <w:tab/>
            </w:r>
          </w:p>
        </w:tc>
        <w:tc>
          <w:tcPr>
            <w:tcW w:w="2425" w:type="dxa"/>
          </w:tcPr>
          <w:p w:rsidR="00A64808" w:rsidRPr="00895E6A" w:rsidRDefault="00A64808" w:rsidP="001B7498">
            <w:pPr>
              <w:tabs>
                <w:tab w:val="left" w:pos="1530"/>
              </w:tabs>
              <w:ind w:left="34"/>
            </w:pPr>
            <w:r w:rsidRPr="00895E6A">
              <w:rPr>
                <w:rFonts w:cs="Tahoma"/>
                <w:b/>
              </w:rPr>
              <w:t>23</w:t>
            </w:r>
          </w:p>
        </w:tc>
        <w:tc>
          <w:tcPr>
            <w:tcW w:w="2143" w:type="dxa"/>
          </w:tcPr>
          <w:p w:rsidR="00A64808" w:rsidRPr="00895E6A" w:rsidRDefault="00A64808" w:rsidP="001B7498">
            <w:pPr>
              <w:tabs>
                <w:tab w:val="left" w:pos="1530"/>
              </w:tabs>
              <w:ind w:left="34"/>
            </w:pPr>
            <w:r w:rsidRPr="00895E6A">
              <w:rPr>
                <w:rFonts w:cs="Tahoma"/>
              </w:rPr>
              <w:t>£13,800</w:t>
            </w:r>
          </w:p>
        </w:tc>
        <w:tc>
          <w:tcPr>
            <w:tcW w:w="2100" w:type="dxa"/>
          </w:tcPr>
          <w:p w:rsidR="00A64808" w:rsidRPr="00895E6A" w:rsidRDefault="00A64808" w:rsidP="001B7498">
            <w:pPr>
              <w:tabs>
                <w:tab w:val="left" w:pos="1530"/>
              </w:tabs>
              <w:ind w:left="34"/>
            </w:pPr>
            <w:r w:rsidRPr="00895E6A">
              <w:t>External contractor unlikely to be subject to cost increase.</w:t>
            </w:r>
          </w:p>
        </w:tc>
      </w:tr>
      <w:tr w:rsidR="00A64808" w:rsidRPr="00895E6A" w:rsidTr="001B7498">
        <w:tc>
          <w:tcPr>
            <w:tcW w:w="2432" w:type="dxa"/>
          </w:tcPr>
          <w:p w:rsidR="00A64808" w:rsidRPr="00895E6A" w:rsidRDefault="00A64808" w:rsidP="001B7498">
            <w:pPr>
              <w:ind w:left="34"/>
            </w:pPr>
            <w:r w:rsidRPr="00895E6A">
              <w:rPr>
                <w:rFonts w:cs="Tahoma"/>
              </w:rPr>
              <w:t>S</w:t>
            </w:r>
            <w:r w:rsidR="00294BAD">
              <w:rPr>
                <w:rFonts w:cs="Tahoma"/>
              </w:rPr>
              <w:t>olar powered speed reactive signs</w:t>
            </w:r>
            <w:r w:rsidR="00101F58">
              <w:rPr>
                <w:rFonts w:cs="Tahoma"/>
              </w:rPr>
              <w:t>(across Fa’side area partnership)</w:t>
            </w:r>
            <w:r w:rsidR="00294BAD">
              <w:rPr>
                <w:rFonts w:cs="Tahoma"/>
              </w:rPr>
              <w:t xml:space="preserve"> </w:t>
            </w:r>
            <w:r w:rsidRPr="00895E6A">
              <w:rPr>
                <w:rFonts w:cs="Tahoma"/>
              </w:rPr>
              <w:tab/>
            </w:r>
            <w:r w:rsidRPr="00895E6A">
              <w:rPr>
                <w:rFonts w:cs="Tahoma"/>
              </w:rPr>
              <w:tab/>
            </w:r>
            <w:r w:rsidRPr="00895E6A">
              <w:rPr>
                <w:rFonts w:cs="Tahoma"/>
              </w:rPr>
              <w:tab/>
            </w:r>
          </w:p>
        </w:tc>
        <w:tc>
          <w:tcPr>
            <w:tcW w:w="2425" w:type="dxa"/>
          </w:tcPr>
          <w:p w:rsidR="00A64808" w:rsidRPr="00895E6A" w:rsidRDefault="00A64808" w:rsidP="001B7498">
            <w:pPr>
              <w:tabs>
                <w:tab w:val="left" w:pos="1530"/>
              </w:tabs>
              <w:ind w:left="34"/>
            </w:pPr>
            <w:r w:rsidRPr="00895E6A">
              <w:rPr>
                <w:rFonts w:cs="Tahoma"/>
                <w:b/>
              </w:rPr>
              <w:t>8</w:t>
            </w:r>
            <w:r w:rsidRPr="00895E6A">
              <w:rPr>
                <w:rFonts w:cs="Tahoma"/>
              </w:rPr>
              <w:tab/>
            </w:r>
          </w:p>
        </w:tc>
        <w:tc>
          <w:tcPr>
            <w:tcW w:w="2143" w:type="dxa"/>
          </w:tcPr>
          <w:p w:rsidR="00A64808" w:rsidRPr="00895E6A" w:rsidRDefault="00A64808" w:rsidP="001B7498">
            <w:pPr>
              <w:ind w:left="34"/>
              <w:rPr>
                <w:rFonts w:cs="Tahoma"/>
              </w:rPr>
            </w:pPr>
            <w:r w:rsidRPr="00895E6A">
              <w:rPr>
                <w:rFonts w:cs="Tahoma"/>
              </w:rPr>
              <w:t>£30,850</w:t>
            </w:r>
            <w:r w:rsidR="00294BAD">
              <w:rPr>
                <w:rFonts w:cs="Tahoma"/>
              </w:rPr>
              <w:t xml:space="preserve"> *4</w:t>
            </w:r>
          </w:p>
          <w:p w:rsidR="00A64808" w:rsidRPr="00895E6A" w:rsidRDefault="00A64808" w:rsidP="001B7498">
            <w:pPr>
              <w:tabs>
                <w:tab w:val="left" w:pos="1530"/>
              </w:tabs>
              <w:ind w:left="34"/>
            </w:pPr>
          </w:p>
        </w:tc>
        <w:tc>
          <w:tcPr>
            <w:tcW w:w="2100" w:type="dxa"/>
          </w:tcPr>
          <w:p w:rsidR="00A64808" w:rsidRPr="00895E6A" w:rsidRDefault="00A64808" w:rsidP="001B7498">
            <w:pPr>
              <w:tabs>
                <w:tab w:val="left" w:pos="1530"/>
              </w:tabs>
              <w:ind w:left="34"/>
            </w:pPr>
            <w:r w:rsidRPr="00895E6A">
              <w:t>External contractor unlikely to be subject to cost increase.</w:t>
            </w:r>
          </w:p>
        </w:tc>
      </w:tr>
      <w:tr w:rsidR="00294BAD" w:rsidRPr="00895E6A" w:rsidTr="001B7498">
        <w:tc>
          <w:tcPr>
            <w:tcW w:w="2432" w:type="dxa"/>
          </w:tcPr>
          <w:p w:rsidR="00294BAD" w:rsidRPr="00895E6A" w:rsidRDefault="00294BAD" w:rsidP="001B7498">
            <w:pPr>
              <w:ind w:left="34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Instal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Nal</w:t>
            </w:r>
            <w:proofErr w:type="spellEnd"/>
            <w:r>
              <w:rPr>
                <w:rFonts w:cs="Tahoma"/>
              </w:rPr>
              <w:t xml:space="preserve"> sockets required for speed reactive signs</w:t>
            </w:r>
          </w:p>
        </w:tc>
        <w:tc>
          <w:tcPr>
            <w:tcW w:w="2425" w:type="dxa"/>
          </w:tcPr>
          <w:p w:rsidR="00294BAD" w:rsidRPr="00895E6A" w:rsidRDefault="00294BAD" w:rsidP="001B7498">
            <w:pPr>
              <w:tabs>
                <w:tab w:val="left" w:pos="1530"/>
              </w:tabs>
              <w:ind w:left="34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10</w:t>
            </w:r>
          </w:p>
        </w:tc>
        <w:tc>
          <w:tcPr>
            <w:tcW w:w="2143" w:type="dxa"/>
          </w:tcPr>
          <w:p w:rsidR="00294BAD" w:rsidRPr="00895E6A" w:rsidRDefault="00294BAD" w:rsidP="001B7498">
            <w:pPr>
              <w:ind w:left="34"/>
              <w:rPr>
                <w:rFonts w:cs="Tahoma"/>
              </w:rPr>
            </w:pPr>
            <w:r>
              <w:rPr>
                <w:rFonts w:cs="Tahoma"/>
              </w:rPr>
              <w:t>*4</w:t>
            </w:r>
          </w:p>
        </w:tc>
        <w:tc>
          <w:tcPr>
            <w:tcW w:w="2100" w:type="dxa"/>
          </w:tcPr>
          <w:p w:rsidR="00294BAD" w:rsidRPr="00895E6A" w:rsidRDefault="00294BAD" w:rsidP="001B7498">
            <w:pPr>
              <w:tabs>
                <w:tab w:val="left" w:pos="1530"/>
              </w:tabs>
              <w:ind w:left="34"/>
            </w:pPr>
            <w:r w:rsidRPr="00895E6A">
              <w:t>External contractor unlikely to be subject to cost increase.</w:t>
            </w:r>
          </w:p>
        </w:tc>
      </w:tr>
      <w:tr w:rsidR="00A64808" w:rsidRPr="00895E6A" w:rsidTr="001B7498">
        <w:tc>
          <w:tcPr>
            <w:tcW w:w="2432" w:type="dxa"/>
            <w:shd w:val="clear" w:color="auto" w:fill="BFBFBF" w:themeFill="background1" w:themeFillShade="BF"/>
          </w:tcPr>
          <w:p w:rsidR="00A64808" w:rsidRPr="00895E6A" w:rsidRDefault="00A64808" w:rsidP="001B7498">
            <w:pPr>
              <w:ind w:left="34"/>
              <w:rPr>
                <w:rFonts w:cs="Tahoma"/>
                <w:b/>
                <w:i/>
              </w:rPr>
            </w:pPr>
            <w:r w:rsidRPr="00895E6A">
              <w:rPr>
                <w:rFonts w:cs="Tahoma"/>
                <w:b/>
                <w:i/>
              </w:rPr>
              <w:t>Items picked up on Community consultation (associated with the project)</w:t>
            </w:r>
          </w:p>
          <w:p w:rsidR="00A64808" w:rsidRPr="00895E6A" w:rsidRDefault="00A64808" w:rsidP="001B7498">
            <w:pPr>
              <w:tabs>
                <w:tab w:val="left" w:pos="1530"/>
              </w:tabs>
              <w:ind w:left="34"/>
              <w:rPr>
                <w:highlight w:val="lightGray"/>
              </w:rPr>
            </w:pPr>
          </w:p>
        </w:tc>
        <w:tc>
          <w:tcPr>
            <w:tcW w:w="2425" w:type="dxa"/>
            <w:shd w:val="clear" w:color="auto" w:fill="BFBFBF" w:themeFill="background1" w:themeFillShade="BF"/>
          </w:tcPr>
          <w:p w:rsidR="00A64808" w:rsidRPr="00895E6A" w:rsidRDefault="00A64808" w:rsidP="001B7498">
            <w:pPr>
              <w:tabs>
                <w:tab w:val="left" w:pos="1530"/>
              </w:tabs>
              <w:ind w:left="34"/>
            </w:pPr>
          </w:p>
        </w:tc>
        <w:tc>
          <w:tcPr>
            <w:tcW w:w="2143" w:type="dxa"/>
            <w:shd w:val="clear" w:color="auto" w:fill="BFBFBF" w:themeFill="background1" w:themeFillShade="BF"/>
          </w:tcPr>
          <w:p w:rsidR="00A64808" w:rsidRPr="00895E6A" w:rsidRDefault="00A64808" w:rsidP="001B7498">
            <w:pPr>
              <w:tabs>
                <w:tab w:val="left" w:pos="1530"/>
              </w:tabs>
              <w:ind w:left="34"/>
            </w:pPr>
          </w:p>
        </w:tc>
        <w:tc>
          <w:tcPr>
            <w:tcW w:w="2100" w:type="dxa"/>
            <w:shd w:val="clear" w:color="auto" w:fill="BFBFBF" w:themeFill="background1" w:themeFillShade="BF"/>
          </w:tcPr>
          <w:p w:rsidR="00A64808" w:rsidRPr="00895E6A" w:rsidRDefault="00A64808" w:rsidP="001B7498">
            <w:pPr>
              <w:tabs>
                <w:tab w:val="left" w:pos="1530"/>
              </w:tabs>
              <w:ind w:left="34"/>
            </w:pPr>
          </w:p>
        </w:tc>
      </w:tr>
      <w:tr w:rsidR="00A64808" w:rsidRPr="00895E6A" w:rsidTr="001B7498">
        <w:tc>
          <w:tcPr>
            <w:tcW w:w="2432" w:type="dxa"/>
          </w:tcPr>
          <w:p w:rsidR="00A64808" w:rsidRPr="00895E6A" w:rsidRDefault="00A64808" w:rsidP="00101F58">
            <w:pPr>
              <w:tabs>
                <w:tab w:val="left" w:pos="1530"/>
              </w:tabs>
              <w:ind w:left="34"/>
            </w:pPr>
            <w:r w:rsidRPr="00895E6A">
              <w:rPr>
                <w:rFonts w:cs="Tahoma"/>
              </w:rPr>
              <w:t>Banners/</w:t>
            </w:r>
            <w:proofErr w:type="spellStart"/>
            <w:r w:rsidRPr="00895E6A">
              <w:rPr>
                <w:rFonts w:cs="Tahoma"/>
              </w:rPr>
              <w:t>Roundals</w:t>
            </w:r>
            <w:proofErr w:type="spellEnd"/>
            <w:r w:rsidR="00101F58">
              <w:rPr>
                <w:rFonts w:cs="Tahoma"/>
              </w:rPr>
              <w:t xml:space="preserve"> -  change in speed limits (across Fa’side area partnership)</w:t>
            </w:r>
            <w:r w:rsidR="00101F58" w:rsidRPr="00895E6A">
              <w:rPr>
                <w:rFonts w:cs="Tahoma"/>
              </w:rPr>
              <w:tab/>
            </w:r>
            <w:r w:rsidRPr="00895E6A">
              <w:rPr>
                <w:rFonts w:cs="Tahoma"/>
              </w:rPr>
              <w:tab/>
            </w:r>
          </w:p>
        </w:tc>
        <w:tc>
          <w:tcPr>
            <w:tcW w:w="2425" w:type="dxa"/>
          </w:tcPr>
          <w:p w:rsidR="00A64808" w:rsidRPr="00895E6A" w:rsidRDefault="00A64808" w:rsidP="001B7498">
            <w:pPr>
              <w:tabs>
                <w:tab w:val="left" w:pos="1530"/>
              </w:tabs>
              <w:ind w:left="34"/>
            </w:pPr>
            <w:r w:rsidRPr="00895E6A">
              <w:rPr>
                <w:rFonts w:cs="Tahoma"/>
                <w:b/>
              </w:rPr>
              <w:t>21</w:t>
            </w:r>
          </w:p>
        </w:tc>
        <w:tc>
          <w:tcPr>
            <w:tcW w:w="2143" w:type="dxa"/>
          </w:tcPr>
          <w:p w:rsidR="00A64808" w:rsidRPr="00895E6A" w:rsidRDefault="00A64808" w:rsidP="001B7498">
            <w:pPr>
              <w:ind w:left="34"/>
              <w:rPr>
                <w:rFonts w:cs="Tahoma"/>
              </w:rPr>
            </w:pPr>
            <w:r w:rsidRPr="00895E6A">
              <w:rPr>
                <w:rFonts w:cs="Tahoma"/>
              </w:rPr>
              <w:t>£12,100</w:t>
            </w:r>
          </w:p>
          <w:p w:rsidR="00A64808" w:rsidRPr="00895E6A" w:rsidRDefault="00A64808" w:rsidP="001B7498">
            <w:pPr>
              <w:tabs>
                <w:tab w:val="left" w:pos="1530"/>
              </w:tabs>
              <w:ind w:left="34"/>
            </w:pPr>
          </w:p>
        </w:tc>
        <w:tc>
          <w:tcPr>
            <w:tcW w:w="2100" w:type="dxa"/>
          </w:tcPr>
          <w:p w:rsidR="00A64808" w:rsidRPr="00895E6A" w:rsidRDefault="00A64808" w:rsidP="001B7498">
            <w:pPr>
              <w:tabs>
                <w:tab w:val="left" w:pos="1530"/>
              </w:tabs>
              <w:ind w:left="34"/>
            </w:pPr>
            <w:r w:rsidRPr="00895E6A">
              <w:t>External contractor unlikely to be subject to cost increase.</w:t>
            </w:r>
          </w:p>
        </w:tc>
      </w:tr>
      <w:tr w:rsidR="00A64808" w:rsidRPr="00895E6A" w:rsidTr="001B7498">
        <w:tc>
          <w:tcPr>
            <w:tcW w:w="2432" w:type="dxa"/>
          </w:tcPr>
          <w:p w:rsidR="00A64808" w:rsidRPr="00895E6A" w:rsidRDefault="00A64808" w:rsidP="001B7498">
            <w:pPr>
              <w:ind w:left="34"/>
            </w:pPr>
            <w:r w:rsidRPr="00895E6A">
              <w:rPr>
                <w:rFonts w:cs="Tahoma"/>
              </w:rPr>
              <w:t xml:space="preserve">Drainage (Pencaitland </w:t>
            </w:r>
            <w:proofErr w:type="spellStart"/>
            <w:r w:rsidRPr="00895E6A">
              <w:rPr>
                <w:rFonts w:cs="Tahoma"/>
              </w:rPr>
              <w:t>Cemetry</w:t>
            </w:r>
            <w:proofErr w:type="spellEnd"/>
            <w:r w:rsidRPr="00895E6A">
              <w:rPr>
                <w:rFonts w:cs="Tahoma"/>
              </w:rPr>
              <w:t>)</w:t>
            </w:r>
            <w:r w:rsidRPr="00895E6A">
              <w:rPr>
                <w:rFonts w:cs="Tahoma"/>
              </w:rPr>
              <w:tab/>
            </w:r>
            <w:r w:rsidRPr="00895E6A">
              <w:rPr>
                <w:rFonts w:cs="Tahoma"/>
              </w:rPr>
              <w:tab/>
            </w:r>
          </w:p>
        </w:tc>
        <w:tc>
          <w:tcPr>
            <w:tcW w:w="2425" w:type="dxa"/>
          </w:tcPr>
          <w:p w:rsidR="00A64808" w:rsidRPr="00895E6A" w:rsidRDefault="00A64808" w:rsidP="001B7498">
            <w:pPr>
              <w:tabs>
                <w:tab w:val="left" w:pos="1530"/>
              </w:tabs>
              <w:ind w:left="34"/>
            </w:pPr>
          </w:p>
        </w:tc>
        <w:tc>
          <w:tcPr>
            <w:tcW w:w="2143" w:type="dxa"/>
          </w:tcPr>
          <w:p w:rsidR="00A64808" w:rsidRPr="00895E6A" w:rsidRDefault="00A64808" w:rsidP="001B7498">
            <w:pPr>
              <w:tabs>
                <w:tab w:val="left" w:pos="1530"/>
              </w:tabs>
              <w:ind w:left="34"/>
            </w:pPr>
            <w:r w:rsidRPr="00895E6A">
              <w:rPr>
                <w:rFonts w:cs="Tahoma"/>
              </w:rPr>
              <w:t>£1,000.00</w:t>
            </w:r>
          </w:p>
        </w:tc>
        <w:tc>
          <w:tcPr>
            <w:tcW w:w="2100" w:type="dxa"/>
          </w:tcPr>
          <w:p w:rsidR="00A64808" w:rsidRPr="00895E6A" w:rsidRDefault="00A64808" w:rsidP="001B7498">
            <w:pPr>
              <w:tabs>
                <w:tab w:val="left" w:pos="1530"/>
              </w:tabs>
              <w:ind w:left="34"/>
            </w:pPr>
            <w:r w:rsidRPr="00895E6A">
              <w:t>Internal works element of risk.</w:t>
            </w:r>
          </w:p>
        </w:tc>
      </w:tr>
      <w:tr w:rsidR="00A64808" w:rsidRPr="00895E6A" w:rsidTr="001B7498">
        <w:tc>
          <w:tcPr>
            <w:tcW w:w="2432" w:type="dxa"/>
            <w:shd w:val="clear" w:color="auto" w:fill="BFBFBF" w:themeFill="background1" w:themeFillShade="BF"/>
          </w:tcPr>
          <w:p w:rsidR="00A64808" w:rsidRPr="00895E6A" w:rsidRDefault="00A64808" w:rsidP="001B7498">
            <w:pPr>
              <w:ind w:left="34"/>
              <w:rPr>
                <w:b/>
              </w:rPr>
            </w:pPr>
            <w:r w:rsidRPr="00895E6A">
              <w:rPr>
                <w:rFonts w:cs="Tahoma"/>
                <w:b/>
              </w:rPr>
              <w:t>Total</w:t>
            </w:r>
            <w:r w:rsidRPr="00895E6A">
              <w:rPr>
                <w:rFonts w:cs="Tahoma"/>
                <w:b/>
              </w:rPr>
              <w:tab/>
            </w:r>
          </w:p>
        </w:tc>
        <w:tc>
          <w:tcPr>
            <w:tcW w:w="2425" w:type="dxa"/>
            <w:shd w:val="clear" w:color="auto" w:fill="BFBFBF" w:themeFill="background1" w:themeFillShade="BF"/>
          </w:tcPr>
          <w:p w:rsidR="00A64808" w:rsidRPr="00895E6A" w:rsidRDefault="00A64808" w:rsidP="001B7498">
            <w:pPr>
              <w:tabs>
                <w:tab w:val="left" w:pos="1530"/>
              </w:tabs>
              <w:ind w:left="34"/>
            </w:pPr>
          </w:p>
        </w:tc>
        <w:tc>
          <w:tcPr>
            <w:tcW w:w="2143" w:type="dxa"/>
            <w:shd w:val="clear" w:color="auto" w:fill="BFBFBF" w:themeFill="background1" w:themeFillShade="BF"/>
          </w:tcPr>
          <w:p w:rsidR="00A64808" w:rsidRPr="00895E6A" w:rsidRDefault="00A64808" w:rsidP="001B7498">
            <w:pPr>
              <w:tabs>
                <w:tab w:val="left" w:pos="1530"/>
              </w:tabs>
              <w:ind w:left="34"/>
            </w:pPr>
            <w:r w:rsidRPr="00895E6A">
              <w:t>£57,750.00</w:t>
            </w:r>
            <w:r w:rsidR="001B7498">
              <w:t xml:space="preserve"> *3</w:t>
            </w:r>
          </w:p>
        </w:tc>
        <w:tc>
          <w:tcPr>
            <w:tcW w:w="2100" w:type="dxa"/>
            <w:shd w:val="clear" w:color="auto" w:fill="BFBFBF" w:themeFill="background1" w:themeFillShade="BF"/>
          </w:tcPr>
          <w:p w:rsidR="00A64808" w:rsidRPr="00895E6A" w:rsidRDefault="00A64808" w:rsidP="001B7498">
            <w:pPr>
              <w:tabs>
                <w:tab w:val="left" w:pos="1530"/>
              </w:tabs>
              <w:ind w:left="34"/>
            </w:pPr>
          </w:p>
        </w:tc>
      </w:tr>
    </w:tbl>
    <w:p w:rsidR="00A64808" w:rsidRDefault="00A64808" w:rsidP="00A64808">
      <w:pPr>
        <w:rPr>
          <w:b/>
        </w:rPr>
      </w:pPr>
    </w:p>
    <w:p w:rsidR="00A64808" w:rsidRPr="001B7498" w:rsidRDefault="001B7498" w:rsidP="00A64808">
      <w:pPr>
        <w:rPr>
          <w:b/>
          <w:u w:val="single"/>
        </w:rPr>
      </w:pPr>
      <w:r w:rsidRPr="001B7498">
        <w:rPr>
          <w:b/>
          <w:u w:val="single"/>
        </w:rPr>
        <w:t xml:space="preserve">Additional </w:t>
      </w:r>
      <w:r w:rsidR="00A64808" w:rsidRPr="001B7498">
        <w:rPr>
          <w:b/>
          <w:u w:val="single"/>
        </w:rPr>
        <w:t>Notes</w:t>
      </w:r>
    </w:p>
    <w:p w:rsidR="00A64808" w:rsidRPr="00895E6A" w:rsidRDefault="00A64808" w:rsidP="00A64808">
      <w:pPr>
        <w:rPr>
          <w:b/>
        </w:rPr>
      </w:pPr>
      <w:r w:rsidRPr="00895E6A">
        <w:rPr>
          <w:b/>
        </w:rPr>
        <w:t>*3 = Over spend in Roads, covered by General budget provision.</w:t>
      </w:r>
    </w:p>
    <w:p w:rsidR="00A64808" w:rsidRPr="00895E6A" w:rsidRDefault="00294BAD" w:rsidP="00A64808">
      <w:pPr>
        <w:rPr>
          <w:b/>
        </w:rPr>
      </w:pPr>
      <w:r>
        <w:rPr>
          <w:b/>
        </w:rPr>
        <w:t>*4 = Included in the budgetary costs for the solar powered speed reactive signs.</w:t>
      </w:r>
    </w:p>
    <w:p w:rsidR="00A64808" w:rsidRPr="00895E6A" w:rsidRDefault="00A64808" w:rsidP="00A64808">
      <w:pPr>
        <w:rPr>
          <w:b/>
        </w:rPr>
      </w:pPr>
    </w:p>
    <w:p w:rsidR="00A64808" w:rsidRPr="00895E6A" w:rsidRDefault="00A64808" w:rsidP="00A64808">
      <w:pPr>
        <w:rPr>
          <w:b/>
        </w:rPr>
      </w:pPr>
    </w:p>
    <w:p w:rsidR="00A64808" w:rsidRPr="00895E6A" w:rsidRDefault="00A64808" w:rsidP="00A64808">
      <w:pPr>
        <w:rPr>
          <w:b/>
        </w:rPr>
      </w:pPr>
    </w:p>
    <w:p w:rsidR="00771E52" w:rsidRDefault="00771E52"/>
    <w:sectPr w:rsidR="00771E52" w:rsidSect="001B7498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64808"/>
    <w:rsid w:val="00101F58"/>
    <w:rsid w:val="001B7498"/>
    <w:rsid w:val="002475E0"/>
    <w:rsid w:val="00294BAD"/>
    <w:rsid w:val="00485FE3"/>
    <w:rsid w:val="00771E52"/>
    <w:rsid w:val="00915375"/>
    <w:rsid w:val="00A6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</dc:creator>
  <cp:lastModifiedBy>davis</cp:lastModifiedBy>
  <cp:revision>4</cp:revision>
  <dcterms:created xsi:type="dcterms:W3CDTF">2015-10-22T09:01:00Z</dcterms:created>
  <dcterms:modified xsi:type="dcterms:W3CDTF">2015-10-28T13:17:00Z</dcterms:modified>
</cp:coreProperties>
</file>