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D66D" w14:textId="77777777" w:rsidR="00153354" w:rsidRDefault="00153354">
      <w:r>
        <w:rPr>
          <w:noProof/>
          <w:lang w:eastAsia="en-GB"/>
        </w:rPr>
        <w:drawing>
          <wp:inline distT="0" distB="0" distL="0" distR="0" wp14:anchorId="0E0063CF" wp14:editId="784CD4F1">
            <wp:extent cx="1828800" cy="1029600"/>
            <wp:effectExtent l="0" t="0" r="0" b="0"/>
            <wp:docPr id="1" name="Picture 0" descr="East Lothia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East Lothian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029600"/>
                    </a:xfrm>
                    <a:prstGeom prst="rect">
                      <a:avLst/>
                    </a:prstGeom>
                  </pic:spPr>
                </pic:pic>
              </a:graphicData>
            </a:graphic>
          </wp:inline>
        </w:drawing>
      </w:r>
    </w:p>
    <w:p w14:paraId="6B0ED23C" w14:textId="77777777" w:rsidR="00153354" w:rsidRPr="00153354" w:rsidRDefault="00153354" w:rsidP="00153354">
      <w:pPr>
        <w:pStyle w:val="NoSpacing"/>
        <w:rPr>
          <w:rFonts w:cs="Arial"/>
          <w:b/>
          <w:sz w:val="28"/>
          <w:szCs w:val="28"/>
        </w:rPr>
      </w:pPr>
      <w:r w:rsidRPr="00153354">
        <w:rPr>
          <w:rFonts w:cs="Arial"/>
          <w:b/>
          <w:sz w:val="28"/>
          <w:szCs w:val="28"/>
        </w:rPr>
        <w:t>East Lothian Council Archaeology Service</w:t>
      </w:r>
    </w:p>
    <w:p w14:paraId="32A4424E" w14:textId="77777777" w:rsidR="00153354" w:rsidRPr="00153354" w:rsidRDefault="00153354" w:rsidP="00153354">
      <w:pPr>
        <w:pStyle w:val="NoSpacing"/>
        <w:rPr>
          <w:rFonts w:cs="Arial"/>
          <w:b/>
          <w:sz w:val="28"/>
          <w:szCs w:val="28"/>
        </w:rPr>
      </w:pPr>
      <w:r w:rsidRPr="00153354">
        <w:rPr>
          <w:rFonts w:cs="Arial"/>
          <w:b/>
          <w:sz w:val="28"/>
          <w:szCs w:val="28"/>
        </w:rPr>
        <w:t>HER Access and Charging Policy</w:t>
      </w:r>
    </w:p>
    <w:p w14:paraId="62908393" w14:textId="77777777" w:rsidR="00153354" w:rsidRPr="00153354" w:rsidRDefault="00153354">
      <w:pPr>
        <w:rPr>
          <w:rFonts w:cs="Arial"/>
          <w:b/>
          <w:sz w:val="28"/>
          <w:szCs w:val="28"/>
        </w:rPr>
      </w:pPr>
    </w:p>
    <w:p w14:paraId="5D14850D" w14:textId="77777777" w:rsidR="008523E0" w:rsidRDefault="00153354" w:rsidP="008523E0">
      <w:pPr>
        <w:rPr>
          <w:rFonts w:cs="Arial"/>
          <w:sz w:val="24"/>
          <w:szCs w:val="24"/>
        </w:rPr>
      </w:pPr>
      <w:r w:rsidRPr="00153354">
        <w:rPr>
          <w:rFonts w:cs="Arial"/>
          <w:sz w:val="24"/>
          <w:szCs w:val="24"/>
        </w:rPr>
        <w:t>This policy statement sets out the framework and guidelines for access to information held by East Lothian Council Archaeology Service and to information contained in the East Lothian and Midlothian Historic Environment Record (HER).</w:t>
      </w:r>
      <w:r w:rsidR="00E664A6">
        <w:rPr>
          <w:rFonts w:cs="Arial"/>
          <w:sz w:val="24"/>
          <w:szCs w:val="24"/>
        </w:rPr>
        <w:t xml:space="preserve">  It sets out the circumstances where charges will be made for the provision of HER data, and the level</w:t>
      </w:r>
      <w:r w:rsidR="00D856FA">
        <w:rPr>
          <w:rFonts w:cs="Arial"/>
          <w:sz w:val="24"/>
          <w:szCs w:val="24"/>
        </w:rPr>
        <w:t xml:space="preserve"> of charges.</w:t>
      </w:r>
      <w:r w:rsidR="00304CE5">
        <w:rPr>
          <w:rFonts w:cs="Arial"/>
          <w:sz w:val="24"/>
          <w:szCs w:val="24"/>
        </w:rPr>
        <w:t xml:space="preserve">  </w:t>
      </w:r>
      <w:r w:rsidR="008523E0">
        <w:rPr>
          <w:rFonts w:cs="Arial"/>
          <w:sz w:val="24"/>
          <w:szCs w:val="24"/>
        </w:rPr>
        <w:t xml:space="preserve">Charges relate to the time taken to collate and prepare the HER information into a suitable digital format, and in some cases for </w:t>
      </w:r>
      <w:r w:rsidR="00390B57">
        <w:rPr>
          <w:rFonts w:cs="Arial"/>
          <w:sz w:val="24"/>
          <w:szCs w:val="24"/>
        </w:rPr>
        <w:t xml:space="preserve">also </w:t>
      </w:r>
      <w:r w:rsidR="008523E0">
        <w:rPr>
          <w:rFonts w:cs="Arial"/>
          <w:sz w:val="24"/>
          <w:szCs w:val="24"/>
        </w:rPr>
        <w:t xml:space="preserve">providing </w:t>
      </w:r>
      <w:r w:rsidR="00390B57">
        <w:rPr>
          <w:rFonts w:cs="Arial"/>
          <w:sz w:val="24"/>
          <w:szCs w:val="24"/>
        </w:rPr>
        <w:t xml:space="preserve">curatorial </w:t>
      </w:r>
      <w:r w:rsidR="008523E0">
        <w:rPr>
          <w:rFonts w:cs="Arial"/>
          <w:sz w:val="24"/>
          <w:szCs w:val="24"/>
        </w:rPr>
        <w:t>advice.</w:t>
      </w:r>
    </w:p>
    <w:p w14:paraId="77413E14" w14:textId="77777777" w:rsidR="008523E0" w:rsidRDefault="008523E0">
      <w:pPr>
        <w:rPr>
          <w:rFonts w:cs="Arial"/>
          <w:sz w:val="24"/>
          <w:szCs w:val="24"/>
        </w:rPr>
      </w:pPr>
    </w:p>
    <w:p w14:paraId="1CF776DC" w14:textId="77777777" w:rsidR="00D856FA" w:rsidRPr="00D856FA" w:rsidRDefault="00D856FA">
      <w:pPr>
        <w:rPr>
          <w:rFonts w:cs="Arial"/>
          <w:b/>
          <w:sz w:val="24"/>
          <w:szCs w:val="24"/>
        </w:rPr>
      </w:pPr>
      <w:r w:rsidRPr="00D856FA">
        <w:rPr>
          <w:rFonts w:cs="Arial"/>
          <w:b/>
          <w:sz w:val="24"/>
          <w:szCs w:val="24"/>
        </w:rPr>
        <w:t>Background</w:t>
      </w:r>
    </w:p>
    <w:p w14:paraId="5C97977C" w14:textId="77777777" w:rsidR="00D856FA" w:rsidRPr="00D856FA" w:rsidRDefault="00D856FA" w:rsidP="00D856FA">
      <w:pPr>
        <w:rPr>
          <w:rFonts w:cs="Arial"/>
          <w:sz w:val="24"/>
          <w:szCs w:val="24"/>
        </w:rPr>
      </w:pPr>
      <w:r w:rsidRPr="00D856FA">
        <w:rPr>
          <w:rFonts w:cs="Arial"/>
          <w:sz w:val="24"/>
          <w:szCs w:val="24"/>
        </w:rPr>
        <w:t xml:space="preserve">The HER </w:t>
      </w:r>
      <w:r w:rsidR="00873EBD">
        <w:rPr>
          <w:sz w:val="24"/>
          <w:szCs w:val="24"/>
        </w:rPr>
        <w:t xml:space="preserve">contains records of all known archaeological and historic sites within East Lothian and Midlothian.  This includes buried archaeological remains, monuments, historic buildings, landscapes and artefacts, as well as records of recent archaeological fieldwork projects.  </w:t>
      </w:r>
      <w:r w:rsidR="009E15E0">
        <w:rPr>
          <w:sz w:val="24"/>
          <w:szCs w:val="24"/>
        </w:rPr>
        <w:t xml:space="preserve">The HER includes sites of all periods, from the earliest human activity more than 10,000 years ago, up to the present day.  </w:t>
      </w:r>
      <w:r w:rsidR="00873EBD">
        <w:rPr>
          <w:sz w:val="24"/>
          <w:szCs w:val="24"/>
        </w:rPr>
        <w:t>The HER is comprised of</w:t>
      </w:r>
      <w:r w:rsidR="00873EBD" w:rsidRPr="008068B3">
        <w:rPr>
          <w:sz w:val="24"/>
          <w:szCs w:val="24"/>
        </w:rPr>
        <w:t xml:space="preserve"> </w:t>
      </w:r>
      <w:r w:rsidR="00873EBD">
        <w:rPr>
          <w:sz w:val="24"/>
          <w:szCs w:val="24"/>
        </w:rPr>
        <w:t xml:space="preserve">a </w:t>
      </w:r>
      <w:r w:rsidR="00873EBD" w:rsidRPr="008068B3">
        <w:rPr>
          <w:sz w:val="24"/>
          <w:szCs w:val="24"/>
        </w:rPr>
        <w:t>database</w:t>
      </w:r>
      <w:r w:rsidR="00873EBD">
        <w:rPr>
          <w:sz w:val="24"/>
          <w:szCs w:val="24"/>
        </w:rPr>
        <w:t xml:space="preserve"> </w:t>
      </w:r>
      <w:r w:rsidR="00873EBD" w:rsidRPr="00D856FA">
        <w:rPr>
          <w:rFonts w:cs="Arial"/>
          <w:sz w:val="24"/>
          <w:szCs w:val="24"/>
        </w:rPr>
        <w:t xml:space="preserve">with over </w:t>
      </w:r>
      <w:r w:rsidR="00483067">
        <w:rPr>
          <w:rFonts w:cs="Arial"/>
          <w:sz w:val="24"/>
          <w:szCs w:val="24"/>
        </w:rPr>
        <w:t>25</w:t>
      </w:r>
      <w:r w:rsidR="00873EBD" w:rsidRPr="00D856FA">
        <w:rPr>
          <w:rFonts w:cs="Arial"/>
          <w:sz w:val="24"/>
          <w:szCs w:val="24"/>
        </w:rPr>
        <w:t>,000 records</w:t>
      </w:r>
      <w:r w:rsidR="00873EBD">
        <w:rPr>
          <w:rFonts w:cs="Arial"/>
          <w:sz w:val="24"/>
          <w:szCs w:val="24"/>
        </w:rPr>
        <w:t>,</w:t>
      </w:r>
      <w:r w:rsidR="00873EBD" w:rsidRPr="008068B3">
        <w:rPr>
          <w:sz w:val="24"/>
          <w:szCs w:val="24"/>
        </w:rPr>
        <w:t xml:space="preserve"> linked to GIS mapping</w:t>
      </w:r>
      <w:r w:rsidR="00873EBD">
        <w:rPr>
          <w:sz w:val="24"/>
          <w:szCs w:val="24"/>
        </w:rPr>
        <w:t xml:space="preserve">.  This is </w:t>
      </w:r>
      <w:r w:rsidR="00873EBD" w:rsidRPr="008068B3">
        <w:rPr>
          <w:sz w:val="24"/>
          <w:szCs w:val="24"/>
        </w:rPr>
        <w:t>supplemented with a wide range of</w:t>
      </w:r>
      <w:r w:rsidR="00873EBD">
        <w:rPr>
          <w:sz w:val="24"/>
          <w:szCs w:val="24"/>
        </w:rPr>
        <w:t xml:space="preserve"> reference</w:t>
      </w:r>
      <w:r w:rsidR="00873EBD" w:rsidRPr="008068B3">
        <w:rPr>
          <w:sz w:val="24"/>
          <w:szCs w:val="24"/>
        </w:rPr>
        <w:t xml:space="preserve"> material, including fieldwork reports, photographs, plans, aerial photographs, and historic maps.  </w:t>
      </w:r>
      <w:r w:rsidRPr="00D856FA">
        <w:rPr>
          <w:rFonts w:cs="Arial"/>
          <w:sz w:val="24"/>
          <w:szCs w:val="24"/>
        </w:rPr>
        <w:t xml:space="preserve"> </w:t>
      </w:r>
      <w:r w:rsidR="00873EBD" w:rsidRPr="00D856FA">
        <w:rPr>
          <w:rFonts w:cs="Arial"/>
          <w:sz w:val="24"/>
          <w:szCs w:val="24"/>
        </w:rPr>
        <w:t>The database is updated regularly with new finds and discoveries. </w:t>
      </w:r>
    </w:p>
    <w:p w14:paraId="3E9B476A" w14:textId="77777777" w:rsidR="00D856FA" w:rsidRDefault="00D856FA" w:rsidP="00D856FA">
      <w:pPr>
        <w:rPr>
          <w:rFonts w:cs="Arial"/>
          <w:sz w:val="24"/>
          <w:szCs w:val="24"/>
        </w:rPr>
      </w:pPr>
      <w:r w:rsidRPr="00D856FA">
        <w:rPr>
          <w:rFonts w:cs="Arial"/>
          <w:sz w:val="24"/>
          <w:szCs w:val="24"/>
        </w:rPr>
        <w:t xml:space="preserve">The HER is a key resource used by the Archaeology Service </w:t>
      </w:r>
      <w:r w:rsidR="00873EBD">
        <w:rPr>
          <w:sz w:val="24"/>
          <w:szCs w:val="24"/>
        </w:rPr>
        <w:t xml:space="preserve">as the basis for historic environment conservation and management advice, such as for planning proposals and environmental schemes.  </w:t>
      </w:r>
      <w:r w:rsidRPr="00D856FA">
        <w:rPr>
          <w:rFonts w:cs="Arial"/>
          <w:sz w:val="24"/>
          <w:szCs w:val="24"/>
        </w:rPr>
        <w:t xml:space="preserve">The HER is also used by members of the public, consultants, history societies, students, and academics.  It is a resource that is available for anyone who is interested in finding out about the archaeology and heritage of East Lothian and Midlothian.  </w:t>
      </w:r>
    </w:p>
    <w:p w14:paraId="6CF47323" w14:textId="78F208E9" w:rsidR="006A510B" w:rsidRPr="006A510B" w:rsidRDefault="00304CE5">
      <w:pPr>
        <w:rPr>
          <w:rFonts w:cs="Arial"/>
          <w:sz w:val="24"/>
          <w:szCs w:val="24"/>
        </w:rPr>
      </w:pPr>
      <w:r>
        <w:rPr>
          <w:rFonts w:cs="Arial"/>
          <w:sz w:val="24"/>
          <w:szCs w:val="24"/>
        </w:rPr>
        <w:t xml:space="preserve">The HER and the Archaeology Service seek to promote an open regime regarding access to </w:t>
      </w:r>
      <w:proofErr w:type="gramStart"/>
      <w:r>
        <w:rPr>
          <w:rFonts w:cs="Arial"/>
          <w:sz w:val="24"/>
          <w:szCs w:val="24"/>
        </w:rPr>
        <w:t>information, and</w:t>
      </w:r>
      <w:proofErr w:type="gramEnd"/>
      <w:r>
        <w:rPr>
          <w:rFonts w:cs="Arial"/>
          <w:sz w:val="24"/>
          <w:szCs w:val="24"/>
        </w:rPr>
        <w:t xml:space="preserve"> make HER information freely available to the public through our website.  The Archaeology Service makes every effort to meet its obligations under the following legislation:  the Freedom of Information (Scotland) Act 2002, the Environmental Information (Scotland) Regulations 2004, the INSPIRE (Scotland) Regulations 2009, and the access provisions of </w:t>
      </w:r>
      <w:r w:rsidR="00F56184">
        <w:rPr>
          <w:rFonts w:cs="Arial"/>
          <w:sz w:val="24"/>
          <w:szCs w:val="24"/>
        </w:rPr>
        <w:t xml:space="preserve">the </w:t>
      </w:r>
      <w:r w:rsidR="00F56184" w:rsidRPr="00F56184">
        <w:rPr>
          <w:rFonts w:cs="Arial"/>
          <w:sz w:val="24"/>
          <w:szCs w:val="24"/>
        </w:rPr>
        <w:t>General Data Protection Regulation (GDPR) 2018.</w:t>
      </w:r>
    </w:p>
    <w:p w14:paraId="52FA32EB" w14:textId="77777777" w:rsidR="00D856FA" w:rsidRPr="00D856FA" w:rsidRDefault="00873EBD" w:rsidP="00D856FA">
      <w:pPr>
        <w:rPr>
          <w:rFonts w:cs="Arial"/>
          <w:sz w:val="24"/>
          <w:szCs w:val="24"/>
        </w:rPr>
      </w:pPr>
      <w:r>
        <w:rPr>
          <w:rFonts w:cs="Arial"/>
          <w:b/>
          <w:bCs/>
          <w:sz w:val="24"/>
          <w:szCs w:val="24"/>
        </w:rPr>
        <w:lastRenderedPageBreak/>
        <w:t>Access to HER information</w:t>
      </w:r>
      <w:r w:rsidR="00D856FA" w:rsidRPr="00D856FA">
        <w:rPr>
          <w:rFonts w:cs="Arial"/>
          <w:sz w:val="24"/>
          <w:szCs w:val="24"/>
        </w:rPr>
        <w:t xml:space="preserve"> </w:t>
      </w:r>
    </w:p>
    <w:p w14:paraId="63805030" w14:textId="77777777" w:rsidR="00D856FA" w:rsidRDefault="00D856FA" w:rsidP="00D856FA">
      <w:pPr>
        <w:rPr>
          <w:rFonts w:cs="Arial"/>
          <w:sz w:val="24"/>
          <w:szCs w:val="24"/>
        </w:rPr>
      </w:pPr>
      <w:r w:rsidRPr="00D856FA">
        <w:rPr>
          <w:rFonts w:cs="Arial"/>
          <w:sz w:val="24"/>
          <w:szCs w:val="24"/>
        </w:rPr>
        <w:t xml:space="preserve">The HER is available online through the </w:t>
      </w:r>
      <w:hyperlink r:id="rId7" w:tooltip="John Gray Centre home" w:history="1">
        <w:r w:rsidRPr="00D856FA">
          <w:rPr>
            <w:rFonts w:cs="Arial"/>
            <w:sz w:val="24"/>
            <w:szCs w:val="24"/>
          </w:rPr>
          <w:t>John Gray Centre website</w:t>
        </w:r>
      </w:hyperlink>
      <w:r w:rsidR="00873EBD">
        <w:rPr>
          <w:rFonts w:cs="Arial"/>
          <w:sz w:val="24"/>
          <w:szCs w:val="24"/>
        </w:rPr>
        <w:t xml:space="preserve">: </w:t>
      </w:r>
      <w:hyperlink r:id="rId8" w:history="1">
        <w:r w:rsidR="00CF24D2" w:rsidRPr="005C3359">
          <w:rPr>
            <w:rStyle w:val="Hyperlink"/>
            <w:rFonts w:cs="Arial"/>
            <w:sz w:val="24"/>
            <w:szCs w:val="24"/>
          </w:rPr>
          <w:t>http://www.johngraycentre.org/</w:t>
        </w:r>
      </w:hyperlink>
      <w:r w:rsidR="00CF24D2">
        <w:rPr>
          <w:rFonts w:cs="Arial"/>
          <w:sz w:val="24"/>
          <w:szCs w:val="24"/>
        </w:rPr>
        <w:t xml:space="preserve"> </w:t>
      </w:r>
      <w:r w:rsidRPr="00D856FA">
        <w:rPr>
          <w:rFonts w:cs="Arial"/>
          <w:sz w:val="24"/>
          <w:szCs w:val="24"/>
        </w:rPr>
        <w:t xml:space="preserve">.  It can be searched either through </w:t>
      </w:r>
      <w:hyperlink r:id="rId9" w:tooltip="Map search" w:history="1">
        <w:r w:rsidRPr="00D856FA">
          <w:rPr>
            <w:rFonts w:cs="Arial"/>
            <w:sz w:val="24"/>
            <w:szCs w:val="24"/>
          </w:rPr>
          <w:t xml:space="preserve">the map </w:t>
        </w:r>
      </w:hyperlink>
      <w:r w:rsidRPr="00D856FA">
        <w:rPr>
          <w:rFonts w:cs="Arial"/>
          <w:sz w:val="24"/>
          <w:szCs w:val="24"/>
        </w:rPr>
        <w:t xml:space="preserve">or by </w:t>
      </w:r>
      <w:hyperlink r:id="rId10" w:tooltip="Advanced search" w:history="1">
        <w:r w:rsidRPr="00D856FA">
          <w:rPr>
            <w:rFonts w:cs="Arial"/>
            <w:sz w:val="24"/>
            <w:szCs w:val="24"/>
          </w:rPr>
          <w:t>the advanced search</w:t>
        </w:r>
      </w:hyperlink>
      <w:r w:rsidRPr="00D856FA">
        <w:rPr>
          <w:rFonts w:cs="Arial"/>
          <w:sz w:val="24"/>
          <w:szCs w:val="24"/>
        </w:rPr>
        <w:t xml:space="preserve">.  This facility allows you to search the HER at the same time as Archives, Local History, and Museums records for East Lothian. </w:t>
      </w:r>
    </w:p>
    <w:p w14:paraId="4C913414" w14:textId="77777777" w:rsidR="00CF24D2" w:rsidRPr="00D856FA" w:rsidRDefault="00CF24D2" w:rsidP="00D856FA">
      <w:pPr>
        <w:rPr>
          <w:rFonts w:cs="Arial"/>
          <w:sz w:val="24"/>
          <w:szCs w:val="24"/>
        </w:rPr>
      </w:pPr>
      <w:r>
        <w:rPr>
          <w:rFonts w:cs="Arial"/>
          <w:sz w:val="24"/>
          <w:szCs w:val="24"/>
        </w:rPr>
        <w:t xml:space="preserve">The HER can also be </w:t>
      </w:r>
      <w:r w:rsidR="00C358A8">
        <w:rPr>
          <w:rFonts w:cs="Arial"/>
          <w:sz w:val="24"/>
          <w:szCs w:val="24"/>
        </w:rPr>
        <w:t>accessed</w:t>
      </w:r>
      <w:r>
        <w:rPr>
          <w:rFonts w:cs="Arial"/>
          <w:sz w:val="24"/>
          <w:szCs w:val="24"/>
        </w:rPr>
        <w:t xml:space="preserve"> through </w:t>
      </w:r>
      <w:proofErr w:type="spellStart"/>
      <w:r>
        <w:rPr>
          <w:rFonts w:cs="Arial"/>
          <w:sz w:val="24"/>
          <w:szCs w:val="24"/>
        </w:rPr>
        <w:t>PastMap</w:t>
      </w:r>
      <w:proofErr w:type="spellEnd"/>
      <w:r>
        <w:rPr>
          <w:rFonts w:cs="Arial"/>
          <w:sz w:val="24"/>
          <w:szCs w:val="24"/>
        </w:rPr>
        <w:t xml:space="preserve">, which provides online access to map-based information about Scotland’s historic environment.  See:  </w:t>
      </w:r>
      <w:hyperlink r:id="rId11" w:history="1">
        <w:r w:rsidRPr="005C3359">
          <w:rPr>
            <w:rStyle w:val="Hyperlink"/>
            <w:rFonts w:cs="Arial"/>
            <w:sz w:val="24"/>
            <w:szCs w:val="24"/>
          </w:rPr>
          <w:t>http://pastmap.org.uk/</w:t>
        </w:r>
      </w:hyperlink>
      <w:r>
        <w:rPr>
          <w:rFonts w:cs="Arial"/>
          <w:sz w:val="24"/>
          <w:szCs w:val="24"/>
        </w:rPr>
        <w:t xml:space="preserve"> </w:t>
      </w:r>
    </w:p>
    <w:p w14:paraId="7987B9A8" w14:textId="77777777" w:rsidR="00D856FA" w:rsidRPr="00D856FA" w:rsidRDefault="00D856FA" w:rsidP="00D856FA">
      <w:pPr>
        <w:rPr>
          <w:rFonts w:cs="Arial"/>
          <w:sz w:val="24"/>
          <w:szCs w:val="24"/>
        </w:rPr>
      </w:pPr>
      <w:r w:rsidRPr="00D856FA">
        <w:rPr>
          <w:rFonts w:cs="Arial"/>
          <w:sz w:val="24"/>
          <w:szCs w:val="24"/>
        </w:rPr>
        <w:t xml:space="preserve">We do not currently have the facilities for members of the public to visit the HER in person, but </w:t>
      </w:r>
      <w:r w:rsidR="00CF24D2">
        <w:rPr>
          <w:rFonts w:cs="Arial"/>
          <w:sz w:val="24"/>
          <w:szCs w:val="24"/>
        </w:rPr>
        <w:t>enquiries</w:t>
      </w:r>
      <w:r w:rsidRPr="00D856FA">
        <w:rPr>
          <w:rFonts w:cs="Arial"/>
          <w:sz w:val="24"/>
          <w:szCs w:val="24"/>
        </w:rPr>
        <w:t xml:space="preserve"> by </w:t>
      </w:r>
      <w:r w:rsidR="00873EBD">
        <w:rPr>
          <w:rFonts w:cs="Arial"/>
          <w:sz w:val="24"/>
          <w:szCs w:val="24"/>
        </w:rPr>
        <w:t>tele</w:t>
      </w:r>
      <w:r w:rsidRPr="00D856FA">
        <w:rPr>
          <w:rFonts w:cs="Arial"/>
          <w:sz w:val="24"/>
          <w:szCs w:val="24"/>
        </w:rPr>
        <w:t xml:space="preserve">phone or email </w:t>
      </w:r>
      <w:r w:rsidR="00CF24D2">
        <w:rPr>
          <w:rFonts w:cs="Arial"/>
          <w:sz w:val="24"/>
          <w:szCs w:val="24"/>
        </w:rPr>
        <w:t>are welcome.</w:t>
      </w:r>
    </w:p>
    <w:p w14:paraId="66EA4C6D" w14:textId="77777777" w:rsidR="00C358A8" w:rsidRDefault="000B0953" w:rsidP="00D856FA">
      <w:pPr>
        <w:rPr>
          <w:rFonts w:cs="Arial"/>
          <w:sz w:val="24"/>
          <w:szCs w:val="24"/>
        </w:rPr>
      </w:pPr>
      <w:r>
        <w:rPr>
          <w:rFonts w:cs="Arial"/>
          <w:sz w:val="24"/>
          <w:szCs w:val="24"/>
        </w:rPr>
        <w:t>Copies of archived reports of archaeological fieldwork, which have been submitted to the HER, can be made available to the public on request, subject to the charges set out below.  Users of such supplied reports are reminded that the reports remain the copyright of the author(s) and supply of a copy of a report by the HER does not entitle the user to infringe this copyright.</w:t>
      </w:r>
    </w:p>
    <w:p w14:paraId="4582EF1A" w14:textId="77777777" w:rsidR="005D14F9" w:rsidRDefault="005D14F9" w:rsidP="00D856FA">
      <w:pPr>
        <w:rPr>
          <w:rFonts w:cs="Arial"/>
          <w:sz w:val="24"/>
          <w:szCs w:val="24"/>
        </w:rPr>
      </w:pPr>
      <w:r w:rsidRPr="005D14F9">
        <w:rPr>
          <w:rFonts w:cs="Arial"/>
          <w:sz w:val="24"/>
          <w:szCs w:val="24"/>
        </w:rPr>
        <w:t xml:space="preserve">Please note that the online version of the HER does not contain the full amount of information held in the </w:t>
      </w:r>
      <w:proofErr w:type="gramStart"/>
      <w:r w:rsidRPr="005D14F9">
        <w:rPr>
          <w:rFonts w:cs="Arial"/>
          <w:sz w:val="24"/>
          <w:szCs w:val="24"/>
        </w:rPr>
        <w:t>HER, and</w:t>
      </w:r>
      <w:proofErr w:type="gramEnd"/>
      <w:r w:rsidRPr="005D14F9">
        <w:rPr>
          <w:rFonts w:cs="Arial"/>
          <w:sz w:val="24"/>
          <w:szCs w:val="24"/>
        </w:rPr>
        <w:t xml:space="preserve"> is not necessarily up to date.   It will not be sufficient on its own to inform the planning process, and commercial contractors should contact the HER directly to obtain the full data for an area.</w:t>
      </w:r>
    </w:p>
    <w:p w14:paraId="4B1B9BCD" w14:textId="77777777" w:rsidR="000B0953" w:rsidRDefault="000B0953" w:rsidP="00D856FA">
      <w:pPr>
        <w:rPr>
          <w:rFonts w:cs="Arial"/>
          <w:sz w:val="24"/>
          <w:szCs w:val="24"/>
        </w:rPr>
      </w:pPr>
    </w:p>
    <w:p w14:paraId="7D34DBC3" w14:textId="77777777" w:rsidR="000B0953" w:rsidRPr="000B0953" w:rsidRDefault="000B0953" w:rsidP="00D856FA">
      <w:pPr>
        <w:rPr>
          <w:rFonts w:cs="Arial"/>
          <w:b/>
          <w:sz w:val="24"/>
          <w:szCs w:val="24"/>
        </w:rPr>
      </w:pPr>
      <w:r>
        <w:rPr>
          <w:rFonts w:cs="Arial"/>
          <w:b/>
          <w:sz w:val="24"/>
          <w:szCs w:val="24"/>
        </w:rPr>
        <w:t>Charging policy</w:t>
      </w:r>
    </w:p>
    <w:p w14:paraId="6FDFD54D" w14:textId="77777777" w:rsidR="000B0953" w:rsidRDefault="000B0953" w:rsidP="000B0953">
      <w:pPr>
        <w:rPr>
          <w:rFonts w:cs="Arial"/>
          <w:sz w:val="24"/>
          <w:szCs w:val="24"/>
        </w:rPr>
      </w:pPr>
      <w:r w:rsidRPr="000B0953">
        <w:rPr>
          <w:rFonts w:cs="Arial"/>
          <w:sz w:val="24"/>
          <w:szCs w:val="24"/>
        </w:rPr>
        <w:t>At the discre</w:t>
      </w:r>
      <w:r w:rsidR="00977C58">
        <w:rPr>
          <w:rFonts w:cs="Arial"/>
          <w:sz w:val="24"/>
          <w:szCs w:val="24"/>
        </w:rPr>
        <w:t>tion of the Archaeology Service</w:t>
      </w:r>
      <w:r w:rsidR="004C7556">
        <w:rPr>
          <w:rFonts w:cs="Arial"/>
          <w:sz w:val="24"/>
          <w:szCs w:val="24"/>
        </w:rPr>
        <w:t>,</w:t>
      </w:r>
      <w:r w:rsidR="00977C58">
        <w:rPr>
          <w:rFonts w:cs="Arial"/>
          <w:sz w:val="24"/>
          <w:szCs w:val="24"/>
        </w:rPr>
        <w:t xml:space="preserve"> </w:t>
      </w:r>
      <w:r w:rsidRPr="000B0953">
        <w:rPr>
          <w:rFonts w:cs="Arial"/>
          <w:sz w:val="24"/>
          <w:szCs w:val="24"/>
        </w:rPr>
        <w:t xml:space="preserve">archaeological information and/or curatorial archaeological advice will be supplied free of charge to students, genuine researchers, and members of the public </w:t>
      </w:r>
      <w:r w:rsidR="00977C58">
        <w:rPr>
          <w:rFonts w:cs="Arial"/>
          <w:sz w:val="24"/>
          <w:szCs w:val="24"/>
        </w:rPr>
        <w:t>within reasonable limits</w:t>
      </w:r>
      <w:r w:rsidRPr="000B0953">
        <w:rPr>
          <w:rFonts w:cs="Arial"/>
          <w:sz w:val="24"/>
          <w:szCs w:val="24"/>
        </w:rPr>
        <w:t>.</w:t>
      </w:r>
      <w:r w:rsidR="00977C58">
        <w:rPr>
          <w:rFonts w:cs="Arial"/>
          <w:sz w:val="24"/>
          <w:szCs w:val="24"/>
        </w:rPr>
        <w:t xml:space="preserve">  There may be a charge for complex, unusual or onerous enquiries. </w:t>
      </w:r>
      <w:r w:rsidRPr="000B0953">
        <w:rPr>
          <w:rFonts w:cs="Arial"/>
          <w:sz w:val="24"/>
          <w:szCs w:val="24"/>
        </w:rPr>
        <w:t xml:space="preserve"> There may </w:t>
      </w:r>
      <w:r w:rsidR="004C7556">
        <w:rPr>
          <w:rFonts w:cs="Arial"/>
          <w:sz w:val="24"/>
          <w:szCs w:val="24"/>
        </w:rPr>
        <w:t xml:space="preserve">also </w:t>
      </w:r>
      <w:r w:rsidRPr="000B0953">
        <w:rPr>
          <w:rFonts w:cs="Arial"/>
          <w:sz w:val="24"/>
          <w:szCs w:val="24"/>
        </w:rPr>
        <w:t>be a charge for unusual materials, postage and packing for supply of information and photocopies may be charged at the rate below.</w:t>
      </w:r>
    </w:p>
    <w:p w14:paraId="7906E8C6" w14:textId="77777777" w:rsidR="004C7556" w:rsidRDefault="004C7556" w:rsidP="004C7556">
      <w:pPr>
        <w:rPr>
          <w:rFonts w:cs="Arial"/>
          <w:sz w:val="24"/>
          <w:szCs w:val="24"/>
        </w:rPr>
      </w:pPr>
      <w:r w:rsidRPr="004C7556">
        <w:rPr>
          <w:rFonts w:cs="Arial"/>
          <w:sz w:val="24"/>
          <w:szCs w:val="24"/>
        </w:rPr>
        <w:t xml:space="preserve">The Archaeology Service will impose a charge for the time expended to meet all commercial requests for information and/or curatorial advice. This is intended to reflect the cost of staff time in providing information, advice, assistance, </w:t>
      </w:r>
      <w:r w:rsidR="00C17233">
        <w:rPr>
          <w:rFonts w:cs="Arial"/>
          <w:sz w:val="24"/>
          <w:szCs w:val="24"/>
        </w:rPr>
        <w:t xml:space="preserve">and </w:t>
      </w:r>
      <w:r w:rsidRPr="004C7556">
        <w:rPr>
          <w:rFonts w:cs="Arial"/>
          <w:sz w:val="24"/>
          <w:szCs w:val="24"/>
        </w:rPr>
        <w:t>reports and to recover any reasonable costs for the supply of data (photocopies, photographs, reports etc.).</w:t>
      </w:r>
    </w:p>
    <w:p w14:paraId="191CF33C" w14:textId="77777777" w:rsidR="00C17233" w:rsidRDefault="00C17233" w:rsidP="004C7556">
      <w:pPr>
        <w:rPr>
          <w:rFonts w:cs="Arial"/>
          <w:sz w:val="24"/>
          <w:szCs w:val="24"/>
        </w:rPr>
      </w:pPr>
      <w:r>
        <w:rPr>
          <w:rFonts w:cs="Arial"/>
          <w:sz w:val="24"/>
          <w:szCs w:val="24"/>
        </w:rPr>
        <w:t xml:space="preserve">The data </w:t>
      </w:r>
      <w:r w:rsidR="003F7234">
        <w:rPr>
          <w:rFonts w:cs="Arial"/>
          <w:sz w:val="24"/>
          <w:szCs w:val="24"/>
        </w:rPr>
        <w:t>will be</w:t>
      </w:r>
      <w:r>
        <w:rPr>
          <w:rFonts w:cs="Arial"/>
          <w:sz w:val="24"/>
          <w:szCs w:val="24"/>
        </w:rPr>
        <w:t xml:space="preserve"> supplied in a suitable digital format, usually in the form of a spreadsheet or database with related shapefiles for GIS mapping.  </w:t>
      </w:r>
    </w:p>
    <w:p w14:paraId="06AC0FA7" w14:textId="77777777" w:rsidR="00C17233" w:rsidRPr="004C7556" w:rsidRDefault="00C17233" w:rsidP="004C7556">
      <w:pPr>
        <w:rPr>
          <w:rFonts w:cs="Arial"/>
          <w:sz w:val="24"/>
          <w:szCs w:val="24"/>
        </w:rPr>
      </w:pPr>
      <w:r w:rsidRPr="00FA4652">
        <w:rPr>
          <w:rFonts w:cs="Arial"/>
          <w:sz w:val="24"/>
          <w:szCs w:val="24"/>
        </w:rPr>
        <w:t xml:space="preserve">At the discretion of the Archaeology Service, charges may be made for curatorial advice </w:t>
      </w:r>
      <w:r w:rsidR="00FA4652">
        <w:rPr>
          <w:rFonts w:cs="Arial"/>
          <w:sz w:val="24"/>
          <w:szCs w:val="24"/>
        </w:rPr>
        <w:t xml:space="preserve">that lies </w:t>
      </w:r>
      <w:proofErr w:type="spellStart"/>
      <w:r w:rsidR="00FA4652">
        <w:rPr>
          <w:rFonts w:cs="Arial"/>
          <w:sz w:val="24"/>
          <w:szCs w:val="24"/>
        </w:rPr>
        <w:t>outwith</w:t>
      </w:r>
      <w:proofErr w:type="spellEnd"/>
      <w:r w:rsidR="00FA4652">
        <w:rPr>
          <w:rFonts w:cs="Arial"/>
          <w:sz w:val="24"/>
          <w:szCs w:val="24"/>
        </w:rPr>
        <w:t xml:space="preserve"> the formal planning procedures.  This may include extensive pre-application advice or advice for non-planning developments (i.e. forestry, agri-environmental, permitted development etc).</w:t>
      </w:r>
    </w:p>
    <w:p w14:paraId="11E13EC1" w14:textId="34DD1BCF" w:rsidR="004C7556" w:rsidRDefault="004C7556" w:rsidP="004C7556">
      <w:pPr>
        <w:rPr>
          <w:rFonts w:cs="Arial"/>
          <w:sz w:val="24"/>
          <w:szCs w:val="24"/>
        </w:rPr>
      </w:pPr>
      <w:r w:rsidRPr="004C7556">
        <w:rPr>
          <w:rFonts w:cs="Arial"/>
          <w:sz w:val="24"/>
          <w:szCs w:val="24"/>
        </w:rPr>
        <w:lastRenderedPageBreak/>
        <w:t xml:space="preserve">The charge for staff time in providing information, curatorial advice, or any other assistance, in respect of commercial requests and enquiries will be </w:t>
      </w:r>
      <w:r w:rsidR="003F7234">
        <w:rPr>
          <w:rFonts w:cs="Arial"/>
          <w:b/>
          <w:sz w:val="24"/>
          <w:szCs w:val="24"/>
        </w:rPr>
        <w:t>£1</w:t>
      </w:r>
      <w:r w:rsidR="00C30F28">
        <w:rPr>
          <w:rFonts w:cs="Arial"/>
          <w:b/>
          <w:sz w:val="24"/>
          <w:szCs w:val="24"/>
        </w:rPr>
        <w:t>3</w:t>
      </w:r>
      <w:r w:rsidR="005A4823">
        <w:rPr>
          <w:rFonts w:cs="Arial"/>
          <w:b/>
          <w:sz w:val="24"/>
          <w:szCs w:val="24"/>
        </w:rPr>
        <w:t>8</w:t>
      </w:r>
      <w:r w:rsidR="0006470B">
        <w:rPr>
          <w:rFonts w:cs="Arial"/>
          <w:b/>
          <w:sz w:val="24"/>
          <w:szCs w:val="24"/>
        </w:rPr>
        <w:t xml:space="preserve"> </w:t>
      </w:r>
      <w:r>
        <w:rPr>
          <w:rFonts w:cs="Arial"/>
          <w:sz w:val="24"/>
          <w:szCs w:val="24"/>
        </w:rPr>
        <w:t>(+VAT)</w:t>
      </w:r>
      <w:r w:rsidRPr="004C7556">
        <w:rPr>
          <w:rFonts w:cs="Arial"/>
          <w:sz w:val="24"/>
          <w:szCs w:val="24"/>
        </w:rPr>
        <w:t xml:space="preserve"> per hour, or part of hour.</w:t>
      </w:r>
      <w:r>
        <w:rPr>
          <w:rFonts w:cs="Arial"/>
          <w:sz w:val="24"/>
          <w:szCs w:val="24"/>
        </w:rPr>
        <w:t xml:space="preserve">  </w:t>
      </w:r>
      <w:r w:rsidRPr="004C7556">
        <w:rPr>
          <w:rFonts w:cs="Arial"/>
          <w:sz w:val="24"/>
          <w:szCs w:val="24"/>
        </w:rPr>
        <w:t>Please see below for other charges.</w:t>
      </w:r>
    </w:p>
    <w:p w14:paraId="093137BA" w14:textId="77777777" w:rsidR="007833FA" w:rsidRPr="007833FA" w:rsidRDefault="007833FA" w:rsidP="007833FA">
      <w:pPr>
        <w:rPr>
          <w:rFonts w:cs="Arial"/>
          <w:sz w:val="24"/>
          <w:szCs w:val="24"/>
        </w:rPr>
      </w:pPr>
      <w:r w:rsidRPr="007833FA">
        <w:rPr>
          <w:rFonts w:cs="Arial"/>
          <w:sz w:val="24"/>
          <w:szCs w:val="24"/>
        </w:rPr>
        <w:t>Estimates of likely costs for enquiries will be supplied in advance of a query being undertaken.</w:t>
      </w:r>
    </w:p>
    <w:p w14:paraId="4033843B" w14:textId="77777777" w:rsidR="00D35AEC" w:rsidRDefault="00D35AEC" w:rsidP="004C7556">
      <w:pPr>
        <w:rPr>
          <w:rFonts w:cs="Arial"/>
          <w:sz w:val="24"/>
          <w:szCs w:val="24"/>
        </w:rPr>
      </w:pPr>
    </w:p>
    <w:p w14:paraId="1364A4FA" w14:textId="77777777" w:rsidR="00D35AEC" w:rsidRDefault="00D35AEC" w:rsidP="004C7556">
      <w:pPr>
        <w:rPr>
          <w:rFonts w:cs="Arial"/>
          <w:b/>
          <w:sz w:val="24"/>
          <w:szCs w:val="24"/>
        </w:rPr>
      </w:pPr>
      <w:r>
        <w:rPr>
          <w:rFonts w:cs="Arial"/>
          <w:b/>
          <w:sz w:val="24"/>
          <w:szCs w:val="24"/>
        </w:rPr>
        <w:t>Charges</w:t>
      </w:r>
    </w:p>
    <w:tbl>
      <w:tblPr>
        <w:tblStyle w:val="TableGrid"/>
        <w:tblW w:w="0" w:type="auto"/>
        <w:tblLook w:val="04A0" w:firstRow="1" w:lastRow="0" w:firstColumn="1" w:lastColumn="0" w:noHBand="0" w:noVBand="1"/>
      </w:tblPr>
      <w:tblGrid>
        <w:gridCol w:w="4541"/>
        <w:gridCol w:w="4475"/>
      </w:tblGrid>
      <w:tr w:rsidR="00D35AEC" w14:paraId="4BC3E528" w14:textId="77777777" w:rsidTr="007833FA">
        <w:trPr>
          <w:trHeight w:val="562"/>
        </w:trPr>
        <w:tc>
          <w:tcPr>
            <w:tcW w:w="4621" w:type="dxa"/>
          </w:tcPr>
          <w:p w14:paraId="1719C09F" w14:textId="77777777" w:rsidR="00D35AEC" w:rsidRPr="00D35AEC" w:rsidRDefault="00D35AEC" w:rsidP="004C7556">
            <w:pPr>
              <w:rPr>
                <w:rFonts w:cs="Arial"/>
                <w:b/>
                <w:sz w:val="24"/>
                <w:szCs w:val="24"/>
              </w:rPr>
            </w:pPr>
            <w:r w:rsidRPr="00D35AEC">
              <w:rPr>
                <w:rFonts w:cs="Arial"/>
                <w:b/>
                <w:sz w:val="24"/>
                <w:szCs w:val="24"/>
              </w:rPr>
              <w:t>Service provided</w:t>
            </w:r>
          </w:p>
        </w:tc>
        <w:tc>
          <w:tcPr>
            <w:tcW w:w="4621" w:type="dxa"/>
          </w:tcPr>
          <w:p w14:paraId="51FF5745" w14:textId="77777777" w:rsidR="00D35AEC" w:rsidRDefault="00D35AEC" w:rsidP="004C7556">
            <w:pPr>
              <w:rPr>
                <w:rFonts w:cs="Arial"/>
                <w:b/>
                <w:sz w:val="24"/>
                <w:szCs w:val="24"/>
              </w:rPr>
            </w:pPr>
            <w:r>
              <w:rPr>
                <w:rFonts w:cs="Arial"/>
                <w:b/>
                <w:sz w:val="24"/>
                <w:szCs w:val="24"/>
              </w:rPr>
              <w:t>Cost</w:t>
            </w:r>
          </w:p>
        </w:tc>
      </w:tr>
      <w:tr w:rsidR="00D35AEC" w:rsidRPr="007833FA" w14:paraId="0FFB0B78" w14:textId="77777777" w:rsidTr="007833FA">
        <w:trPr>
          <w:trHeight w:val="553"/>
        </w:trPr>
        <w:tc>
          <w:tcPr>
            <w:tcW w:w="4621" w:type="dxa"/>
          </w:tcPr>
          <w:p w14:paraId="353B095F" w14:textId="77777777" w:rsidR="00D35AEC" w:rsidRPr="007833FA" w:rsidRDefault="007833FA" w:rsidP="004C7556">
            <w:pPr>
              <w:rPr>
                <w:rFonts w:cs="Arial"/>
                <w:sz w:val="24"/>
                <w:szCs w:val="24"/>
              </w:rPr>
            </w:pPr>
            <w:r w:rsidRPr="007833FA">
              <w:rPr>
                <w:rFonts w:cs="Arial"/>
                <w:sz w:val="24"/>
                <w:szCs w:val="24"/>
              </w:rPr>
              <w:t>Digital HER extract</w:t>
            </w:r>
          </w:p>
        </w:tc>
        <w:tc>
          <w:tcPr>
            <w:tcW w:w="4621" w:type="dxa"/>
          </w:tcPr>
          <w:p w14:paraId="34E3532F" w14:textId="5E3D42D9" w:rsidR="00D35AEC" w:rsidRPr="007833FA" w:rsidRDefault="007833FA" w:rsidP="0006470B">
            <w:pPr>
              <w:rPr>
                <w:rFonts w:cs="Arial"/>
                <w:sz w:val="24"/>
                <w:szCs w:val="24"/>
              </w:rPr>
            </w:pPr>
            <w:r w:rsidRPr="007833FA">
              <w:rPr>
                <w:rFonts w:cs="Arial"/>
                <w:sz w:val="24"/>
                <w:szCs w:val="24"/>
              </w:rPr>
              <w:t>£</w:t>
            </w:r>
            <w:r w:rsidR="00C30F28">
              <w:rPr>
                <w:rFonts w:cs="Arial"/>
                <w:sz w:val="24"/>
                <w:szCs w:val="24"/>
              </w:rPr>
              <w:t>13</w:t>
            </w:r>
            <w:r w:rsidR="005A4823">
              <w:rPr>
                <w:rFonts w:cs="Arial"/>
                <w:sz w:val="24"/>
                <w:szCs w:val="24"/>
              </w:rPr>
              <w:t>8</w:t>
            </w:r>
            <w:r w:rsidR="0006470B">
              <w:rPr>
                <w:rFonts w:cs="Arial"/>
                <w:sz w:val="24"/>
                <w:szCs w:val="24"/>
              </w:rPr>
              <w:t xml:space="preserve"> </w:t>
            </w:r>
            <w:r w:rsidRPr="007833FA">
              <w:rPr>
                <w:rFonts w:cs="Arial"/>
                <w:sz w:val="24"/>
                <w:szCs w:val="24"/>
              </w:rPr>
              <w:t>+ VAT / hour</w:t>
            </w:r>
          </w:p>
        </w:tc>
      </w:tr>
      <w:tr w:rsidR="00C17233" w14:paraId="7D7765F3" w14:textId="77777777" w:rsidTr="00C17233">
        <w:trPr>
          <w:trHeight w:val="687"/>
        </w:trPr>
        <w:tc>
          <w:tcPr>
            <w:tcW w:w="4621" w:type="dxa"/>
          </w:tcPr>
          <w:p w14:paraId="2CF3A275" w14:textId="77777777" w:rsidR="00C17233" w:rsidRPr="007833FA" w:rsidRDefault="00C17233" w:rsidP="004C7556">
            <w:pPr>
              <w:rPr>
                <w:rFonts w:cs="Arial"/>
                <w:sz w:val="24"/>
                <w:szCs w:val="24"/>
              </w:rPr>
            </w:pPr>
            <w:r w:rsidRPr="00FA4652">
              <w:rPr>
                <w:rFonts w:cs="Arial"/>
                <w:sz w:val="24"/>
                <w:szCs w:val="24"/>
              </w:rPr>
              <w:t>Curatorial advice outside of the formal planning process</w:t>
            </w:r>
            <w:r w:rsidR="00FA4652">
              <w:rPr>
                <w:rFonts w:cs="Arial"/>
                <w:sz w:val="24"/>
                <w:szCs w:val="24"/>
              </w:rPr>
              <w:t xml:space="preserve"> (i.e. at pre application or non-planning developments)</w:t>
            </w:r>
          </w:p>
        </w:tc>
        <w:tc>
          <w:tcPr>
            <w:tcW w:w="4621" w:type="dxa"/>
          </w:tcPr>
          <w:p w14:paraId="19AC2E42" w14:textId="3167B69C" w:rsidR="00C17233" w:rsidRPr="007833FA" w:rsidRDefault="00C17233" w:rsidP="0006470B">
            <w:pPr>
              <w:rPr>
                <w:rFonts w:cs="Arial"/>
                <w:sz w:val="24"/>
                <w:szCs w:val="24"/>
              </w:rPr>
            </w:pPr>
            <w:r w:rsidRPr="007833FA">
              <w:rPr>
                <w:rFonts w:cs="Arial"/>
                <w:sz w:val="24"/>
                <w:szCs w:val="24"/>
              </w:rPr>
              <w:t>£</w:t>
            </w:r>
            <w:r w:rsidR="00807E7F" w:rsidRPr="00807E7F">
              <w:rPr>
                <w:rFonts w:cs="Arial"/>
                <w:sz w:val="24"/>
                <w:szCs w:val="24"/>
              </w:rPr>
              <w:t>1</w:t>
            </w:r>
            <w:r w:rsidR="00C30F28">
              <w:rPr>
                <w:rFonts w:cs="Arial"/>
                <w:sz w:val="24"/>
                <w:szCs w:val="24"/>
              </w:rPr>
              <w:t>3</w:t>
            </w:r>
            <w:r w:rsidR="005A4823">
              <w:rPr>
                <w:rFonts w:cs="Arial"/>
                <w:sz w:val="24"/>
                <w:szCs w:val="24"/>
              </w:rPr>
              <w:t>8</w:t>
            </w:r>
            <w:r w:rsidR="0006470B">
              <w:rPr>
                <w:rFonts w:cs="Arial"/>
                <w:sz w:val="24"/>
                <w:szCs w:val="24"/>
              </w:rPr>
              <w:t xml:space="preserve"> </w:t>
            </w:r>
            <w:r w:rsidRPr="007833FA">
              <w:rPr>
                <w:rFonts w:cs="Arial"/>
                <w:sz w:val="24"/>
                <w:szCs w:val="24"/>
              </w:rPr>
              <w:t>+ VAT / hour</w:t>
            </w:r>
          </w:p>
        </w:tc>
      </w:tr>
      <w:tr w:rsidR="00D35AEC" w14:paraId="3D1DB9F4" w14:textId="77777777" w:rsidTr="007833FA">
        <w:trPr>
          <w:trHeight w:val="564"/>
        </w:trPr>
        <w:tc>
          <w:tcPr>
            <w:tcW w:w="4621" w:type="dxa"/>
          </w:tcPr>
          <w:p w14:paraId="688F2285" w14:textId="77777777" w:rsidR="00D35AEC" w:rsidRPr="007833FA" w:rsidRDefault="007833FA" w:rsidP="004C7556">
            <w:pPr>
              <w:rPr>
                <w:rFonts w:cs="Arial"/>
                <w:sz w:val="24"/>
                <w:szCs w:val="24"/>
              </w:rPr>
            </w:pPr>
            <w:r w:rsidRPr="007833FA">
              <w:rPr>
                <w:rFonts w:cs="Arial"/>
                <w:sz w:val="24"/>
                <w:szCs w:val="24"/>
              </w:rPr>
              <w:t>Photocopying</w:t>
            </w:r>
            <w:r w:rsidR="008315F6">
              <w:rPr>
                <w:rFonts w:cs="Arial"/>
                <w:sz w:val="24"/>
                <w:szCs w:val="24"/>
              </w:rPr>
              <w:t>/computer printout</w:t>
            </w:r>
            <w:r w:rsidRPr="007833FA">
              <w:rPr>
                <w:rFonts w:cs="Arial"/>
                <w:sz w:val="24"/>
                <w:szCs w:val="24"/>
              </w:rPr>
              <w:t xml:space="preserve"> charges</w:t>
            </w:r>
          </w:p>
        </w:tc>
        <w:tc>
          <w:tcPr>
            <w:tcW w:w="4621" w:type="dxa"/>
          </w:tcPr>
          <w:p w14:paraId="562C4346" w14:textId="77777777" w:rsidR="00D35AEC" w:rsidRDefault="00D677E8" w:rsidP="00D677E8">
            <w:pPr>
              <w:rPr>
                <w:rFonts w:cs="Arial"/>
                <w:sz w:val="24"/>
                <w:szCs w:val="24"/>
              </w:rPr>
            </w:pPr>
            <w:r>
              <w:rPr>
                <w:rFonts w:cs="Arial"/>
                <w:sz w:val="24"/>
                <w:szCs w:val="24"/>
              </w:rPr>
              <w:t xml:space="preserve">B&amp;W: </w:t>
            </w:r>
            <w:r w:rsidR="005E614C">
              <w:rPr>
                <w:rFonts w:cs="Arial"/>
                <w:sz w:val="24"/>
                <w:szCs w:val="24"/>
              </w:rPr>
              <w:t>30</w:t>
            </w:r>
            <w:r w:rsidR="007833FA" w:rsidRPr="007833FA">
              <w:rPr>
                <w:rFonts w:cs="Arial"/>
                <w:sz w:val="24"/>
                <w:szCs w:val="24"/>
              </w:rPr>
              <w:t xml:space="preserve">p / A4 and </w:t>
            </w:r>
            <w:r w:rsidR="005E614C">
              <w:rPr>
                <w:rFonts w:cs="Arial"/>
                <w:sz w:val="24"/>
                <w:szCs w:val="24"/>
              </w:rPr>
              <w:t>40</w:t>
            </w:r>
            <w:r w:rsidR="007833FA" w:rsidRPr="007833FA">
              <w:rPr>
                <w:rFonts w:cs="Arial"/>
                <w:sz w:val="24"/>
                <w:szCs w:val="24"/>
              </w:rPr>
              <w:t>p / A3</w:t>
            </w:r>
            <w:r w:rsidR="007833FA">
              <w:rPr>
                <w:rFonts w:cs="Arial"/>
                <w:sz w:val="24"/>
                <w:szCs w:val="24"/>
              </w:rPr>
              <w:t xml:space="preserve"> per sheet</w:t>
            </w:r>
          </w:p>
          <w:p w14:paraId="7B1DB10A" w14:textId="77777777" w:rsidR="00D677E8" w:rsidRPr="007833FA" w:rsidRDefault="00D677E8" w:rsidP="005E614C">
            <w:pPr>
              <w:rPr>
                <w:rFonts w:cs="Arial"/>
                <w:sz w:val="24"/>
                <w:szCs w:val="24"/>
              </w:rPr>
            </w:pPr>
            <w:r>
              <w:rPr>
                <w:rFonts w:cs="Arial"/>
                <w:sz w:val="24"/>
                <w:szCs w:val="24"/>
              </w:rPr>
              <w:t xml:space="preserve">Colour:  </w:t>
            </w:r>
            <w:r w:rsidR="005E614C">
              <w:rPr>
                <w:rFonts w:cs="Arial"/>
                <w:sz w:val="24"/>
                <w:szCs w:val="24"/>
              </w:rPr>
              <w:t>60</w:t>
            </w:r>
            <w:r w:rsidRPr="007833FA">
              <w:rPr>
                <w:rFonts w:cs="Arial"/>
                <w:sz w:val="24"/>
                <w:szCs w:val="24"/>
              </w:rPr>
              <w:t xml:space="preserve">p / A4 and </w:t>
            </w:r>
            <w:r w:rsidR="005E614C">
              <w:rPr>
                <w:rFonts w:cs="Arial"/>
                <w:sz w:val="24"/>
                <w:szCs w:val="24"/>
              </w:rPr>
              <w:t>70</w:t>
            </w:r>
            <w:r w:rsidRPr="007833FA">
              <w:rPr>
                <w:rFonts w:cs="Arial"/>
                <w:sz w:val="24"/>
                <w:szCs w:val="24"/>
              </w:rPr>
              <w:t>p / A3</w:t>
            </w:r>
            <w:r>
              <w:rPr>
                <w:rFonts w:cs="Arial"/>
                <w:sz w:val="24"/>
                <w:szCs w:val="24"/>
              </w:rPr>
              <w:t xml:space="preserve"> per sheet</w:t>
            </w:r>
          </w:p>
        </w:tc>
      </w:tr>
    </w:tbl>
    <w:p w14:paraId="3873A014" w14:textId="77777777" w:rsidR="00D35AEC" w:rsidRDefault="00D35AEC" w:rsidP="004C7556">
      <w:pPr>
        <w:rPr>
          <w:rFonts w:cs="Arial"/>
          <w:b/>
          <w:sz w:val="24"/>
          <w:szCs w:val="24"/>
        </w:rPr>
      </w:pPr>
    </w:p>
    <w:p w14:paraId="46D10252" w14:textId="77777777" w:rsidR="007833FA" w:rsidRDefault="007833FA" w:rsidP="004C7556">
      <w:pPr>
        <w:rPr>
          <w:rFonts w:cs="Arial"/>
          <w:b/>
          <w:sz w:val="24"/>
          <w:szCs w:val="24"/>
        </w:rPr>
      </w:pPr>
    </w:p>
    <w:p w14:paraId="5B52E292" w14:textId="77777777" w:rsidR="007833FA" w:rsidRPr="007833FA" w:rsidRDefault="007833FA" w:rsidP="007833FA">
      <w:pPr>
        <w:rPr>
          <w:rFonts w:cs="Arial"/>
          <w:b/>
          <w:sz w:val="24"/>
          <w:szCs w:val="24"/>
        </w:rPr>
      </w:pPr>
      <w:r>
        <w:rPr>
          <w:rFonts w:cs="Arial"/>
          <w:b/>
          <w:sz w:val="24"/>
          <w:szCs w:val="24"/>
        </w:rPr>
        <w:t>Guidelines for access to HER information</w:t>
      </w:r>
    </w:p>
    <w:p w14:paraId="15CAF2A1" w14:textId="77777777" w:rsidR="007833FA" w:rsidRDefault="007833FA" w:rsidP="007833FA">
      <w:pPr>
        <w:rPr>
          <w:rFonts w:cs="Arial"/>
          <w:sz w:val="24"/>
          <w:szCs w:val="24"/>
        </w:rPr>
      </w:pPr>
      <w:r w:rsidRPr="007833FA">
        <w:rPr>
          <w:rFonts w:cs="Arial"/>
          <w:sz w:val="24"/>
          <w:szCs w:val="24"/>
        </w:rPr>
        <w:t xml:space="preserve">HER information </w:t>
      </w:r>
      <w:r w:rsidR="00C17233">
        <w:rPr>
          <w:rFonts w:cs="Arial"/>
          <w:sz w:val="24"/>
          <w:szCs w:val="24"/>
        </w:rPr>
        <w:t>is only valid</w:t>
      </w:r>
      <w:r w:rsidRPr="007833FA">
        <w:rPr>
          <w:rFonts w:cs="Arial"/>
          <w:sz w:val="24"/>
          <w:szCs w:val="24"/>
        </w:rPr>
        <w:t xml:space="preserve">, for a given area, for a maximum period of </w:t>
      </w:r>
      <w:r w:rsidRPr="007833FA">
        <w:rPr>
          <w:rFonts w:cs="Arial"/>
          <w:b/>
          <w:sz w:val="24"/>
          <w:szCs w:val="24"/>
        </w:rPr>
        <w:t>6 months</w:t>
      </w:r>
      <w:r w:rsidRPr="007833FA">
        <w:rPr>
          <w:rFonts w:cs="Arial"/>
          <w:sz w:val="24"/>
          <w:szCs w:val="24"/>
        </w:rPr>
        <w:t xml:space="preserve">. After this period the HER information becomes invalid. Enquirers should be aware that HER </w:t>
      </w:r>
      <w:r>
        <w:rPr>
          <w:rFonts w:cs="Arial"/>
          <w:sz w:val="24"/>
          <w:szCs w:val="24"/>
        </w:rPr>
        <w:t>e</w:t>
      </w:r>
      <w:r w:rsidRPr="007833FA">
        <w:rPr>
          <w:rFonts w:cs="Arial"/>
          <w:sz w:val="24"/>
          <w:szCs w:val="24"/>
        </w:rPr>
        <w:t xml:space="preserve">nhancement </w:t>
      </w:r>
      <w:r>
        <w:rPr>
          <w:rFonts w:cs="Arial"/>
          <w:sz w:val="24"/>
          <w:szCs w:val="24"/>
        </w:rPr>
        <w:t>p</w:t>
      </w:r>
      <w:r w:rsidRPr="007833FA">
        <w:rPr>
          <w:rFonts w:cs="Arial"/>
          <w:sz w:val="24"/>
          <w:szCs w:val="24"/>
        </w:rPr>
        <w:t xml:space="preserve">rojects are continually adding to the number of already known and recorded archaeological sites. </w:t>
      </w:r>
    </w:p>
    <w:p w14:paraId="25CABA12" w14:textId="77777777" w:rsidR="00C17233" w:rsidRPr="007833FA" w:rsidRDefault="00C0625E" w:rsidP="007833FA">
      <w:pPr>
        <w:rPr>
          <w:rFonts w:cs="Arial"/>
          <w:sz w:val="24"/>
          <w:szCs w:val="24"/>
        </w:rPr>
      </w:pPr>
      <w:r>
        <w:rPr>
          <w:rFonts w:cs="Arial"/>
          <w:sz w:val="24"/>
          <w:szCs w:val="24"/>
        </w:rPr>
        <w:t>To comply with Ordnance Survey licence requirements, an end-user licence agreement will be required, signed by both parties.</w:t>
      </w:r>
    </w:p>
    <w:p w14:paraId="6D510520" w14:textId="77777777" w:rsidR="007833FA" w:rsidRPr="007833FA" w:rsidRDefault="007833FA" w:rsidP="007833FA">
      <w:pPr>
        <w:rPr>
          <w:rFonts w:cs="Arial"/>
          <w:sz w:val="24"/>
          <w:szCs w:val="24"/>
        </w:rPr>
      </w:pPr>
      <w:r w:rsidRPr="007833FA">
        <w:rPr>
          <w:rFonts w:cs="Arial"/>
          <w:sz w:val="24"/>
          <w:szCs w:val="24"/>
        </w:rPr>
        <w:t>Although every reasonable effort is made to verify information contained in the HER database, the database is compiled from a variety of often unchecked sources and the information it contains should not be seen as definitive. Therefore, East Lothian Council Archaeology Service does not accept responsibility for the accuracy of any HER information supplied by it and the user of the HER information accepts that, save as regards any matter for which it is not possible in law to exclude or limit liability, East Lothian Council Archaeology Service accepts no liability whether for direct, indirect, consequential or incidental damages or losses arising from the use of HER information.</w:t>
      </w:r>
    </w:p>
    <w:p w14:paraId="583E8C7E" w14:textId="77777777" w:rsidR="007833FA" w:rsidRDefault="007833FA" w:rsidP="007833FA">
      <w:pPr>
        <w:rPr>
          <w:rFonts w:cs="Arial"/>
          <w:sz w:val="24"/>
          <w:szCs w:val="24"/>
        </w:rPr>
      </w:pPr>
      <w:r w:rsidRPr="007833FA">
        <w:rPr>
          <w:rFonts w:cs="Arial"/>
          <w:sz w:val="24"/>
          <w:szCs w:val="24"/>
        </w:rPr>
        <w:t xml:space="preserve">The whole of the copyright and all other intellectual property rights throughout the world for the whole term of such copyright in the HER information is held by the East Lothian Council Archaeology Service. Dissemination to a third party of the HER Information without </w:t>
      </w:r>
      <w:r w:rsidRPr="007833FA">
        <w:rPr>
          <w:rFonts w:cs="Arial"/>
          <w:sz w:val="24"/>
          <w:szCs w:val="24"/>
        </w:rPr>
        <w:lastRenderedPageBreak/>
        <w:t>the written consent of the Archaeology Service shall be deemed as a breach of that copyright. HER information supplied to an enquirer shall not be retained after the specific use for which it was requested has finished. Where specific consent under the copyright provisions governing the HER has been obtained for dissemination of HER information to third parties through publications, reports or theses, due acknowledgement of the use of HER information will be given.</w:t>
      </w:r>
    </w:p>
    <w:p w14:paraId="72A09EF4" w14:textId="77777777" w:rsidR="007833FA" w:rsidRDefault="007833FA" w:rsidP="007833FA">
      <w:pPr>
        <w:rPr>
          <w:rFonts w:cs="Arial"/>
          <w:sz w:val="24"/>
          <w:szCs w:val="24"/>
        </w:rPr>
      </w:pPr>
      <w:r>
        <w:rPr>
          <w:rFonts w:cs="Arial"/>
          <w:sz w:val="24"/>
          <w:szCs w:val="24"/>
        </w:rPr>
        <w:t xml:space="preserve">Users of HER data will be expected to inform the HER of new sites or of information that comes to light </w:t>
      </w:r>
      <w:proofErr w:type="gramStart"/>
      <w:r>
        <w:rPr>
          <w:rFonts w:cs="Arial"/>
          <w:sz w:val="24"/>
          <w:szCs w:val="24"/>
        </w:rPr>
        <w:t>as a result of</w:t>
      </w:r>
      <w:proofErr w:type="gramEnd"/>
      <w:r>
        <w:rPr>
          <w:rFonts w:cs="Arial"/>
          <w:sz w:val="24"/>
          <w:szCs w:val="24"/>
        </w:rPr>
        <w:t xml:space="preserve"> their research.  Copies of, or access to, the completed research should be ma</w:t>
      </w:r>
      <w:r w:rsidR="00C226F7">
        <w:rPr>
          <w:rFonts w:cs="Arial"/>
          <w:sz w:val="24"/>
          <w:szCs w:val="24"/>
        </w:rPr>
        <w:t>d</w:t>
      </w:r>
      <w:r>
        <w:rPr>
          <w:rFonts w:cs="Arial"/>
          <w:sz w:val="24"/>
          <w:szCs w:val="24"/>
        </w:rPr>
        <w:t xml:space="preserve">e available to the HER within </w:t>
      </w:r>
      <w:r w:rsidRPr="007833FA">
        <w:rPr>
          <w:rFonts w:cs="Arial"/>
          <w:b/>
          <w:sz w:val="24"/>
          <w:szCs w:val="24"/>
        </w:rPr>
        <w:t>6 months</w:t>
      </w:r>
      <w:r>
        <w:rPr>
          <w:rFonts w:cs="Arial"/>
          <w:sz w:val="24"/>
          <w:szCs w:val="24"/>
        </w:rPr>
        <w:t xml:space="preserve"> of completion.</w:t>
      </w:r>
    </w:p>
    <w:p w14:paraId="16FEE709" w14:textId="77777777" w:rsidR="00646D63" w:rsidRPr="00646D63" w:rsidRDefault="00646D63" w:rsidP="007833FA">
      <w:pPr>
        <w:rPr>
          <w:rFonts w:cs="Arial"/>
          <w:sz w:val="24"/>
          <w:szCs w:val="24"/>
        </w:rPr>
      </w:pPr>
    </w:p>
    <w:p w14:paraId="4BF2096E" w14:textId="77777777" w:rsidR="00646D63" w:rsidRPr="00646D63" w:rsidRDefault="00646D63" w:rsidP="00646D63">
      <w:pPr>
        <w:pStyle w:val="NoSpacing"/>
        <w:rPr>
          <w:sz w:val="24"/>
          <w:szCs w:val="24"/>
        </w:rPr>
      </w:pPr>
      <w:r w:rsidRPr="00646D63">
        <w:rPr>
          <w:sz w:val="24"/>
          <w:szCs w:val="24"/>
        </w:rPr>
        <w:t>East Lothian Council Archaeology Service</w:t>
      </w:r>
    </w:p>
    <w:p w14:paraId="1F608D8A" w14:textId="79A3EE88" w:rsidR="00646D63" w:rsidRPr="00646D63" w:rsidRDefault="00646D63" w:rsidP="00646D63">
      <w:pPr>
        <w:pStyle w:val="NoSpacing"/>
        <w:rPr>
          <w:sz w:val="24"/>
          <w:szCs w:val="24"/>
        </w:rPr>
      </w:pPr>
      <w:r w:rsidRPr="00646D63">
        <w:rPr>
          <w:sz w:val="24"/>
          <w:szCs w:val="24"/>
        </w:rPr>
        <w:t>April 20</w:t>
      </w:r>
      <w:r w:rsidR="007C61AF">
        <w:rPr>
          <w:sz w:val="24"/>
          <w:szCs w:val="24"/>
        </w:rPr>
        <w:t>2</w:t>
      </w:r>
      <w:r w:rsidR="0079682F">
        <w:rPr>
          <w:sz w:val="24"/>
          <w:szCs w:val="24"/>
        </w:rPr>
        <w:t>5</w:t>
      </w:r>
    </w:p>
    <w:p w14:paraId="5622B309" w14:textId="77777777" w:rsidR="007833FA" w:rsidRPr="007833FA" w:rsidRDefault="007833FA" w:rsidP="007833FA">
      <w:pPr>
        <w:rPr>
          <w:rFonts w:cs="Arial"/>
          <w:sz w:val="24"/>
          <w:szCs w:val="24"/>
        </w:rPr>
      </w:pPr>
    </w:p>
    <w:p w14:paraId="0C3B3A30" w14:textId="77777777" w:rsidR="007833FA" w:rsidRPr="007833FA" w:rsidRDefault="007833FA" w:rsidP="004C7556">
      <w:pPr>
        <w:rPr>
          <w:rFonts w:cs="Arial"/>
          <w:sz w:val="24"/>
          <w:szCs w:val="24"/>
        </w:rPr>
      </w:pPr>
    </w:p>
    <w:p w14:paraId="5733F5B7" w14:textId="77777777" w:rsidR="004C7556" w:rsidRPr="000B0953" w:rsidRDefault="004C7556" w:rsidP="000B0953">
      <w:pPr>
        <w:rPr>
          <w:rFonts w:cs="Arial"/>
          <w:sz w:val="24"/>
          <w:szCs w:val="24"/>
        </w:rPr>
      </w:pPr>
    </w:p>
    <w:p w14:paraId="7F6642BF" w14:textId="77777777" w:rsidR="00153354" w:rsidRPr="00D856FA" w:rsidRDefault="00153354">
      <w:pPr>
        <w:rPr>
          <w:rFonts w:cs="Arial"/>
          <w:sz w:val="24"/>
          <w:szCs w:val="24"/>
        </w:rPr>
      </w:pPr>
    </w:p>
    <w:p w14:paraId="111B8E5A" w14:textId="77777777" w:rsidR="00153354" w:rsidRPr="00D856FA" w:rsidRDefault="00153354">
      <w:pPr>
        <w:rPr>
          <w:rFonts w:cs="Arial"/>
          <w:sz w:val="24"/>
          <w:szCs w:val="24"/>
        </w:rPr>
      </w:pPr>
    </w:p>
    <w:p w14:paraId="6930DB00" w14:textId="77777777" w:rsidR="00153354" w:rsidRPr="00D856FA" w:rsidRDefault="00153354">
      <w:pPr>
        <w:rPr>
          <w:rFonts w:cs="Arial"/>
          <w:sz w:val="24"/>
          <w:szCs w:val="24"/>
        </w:rPr>
      </w:pPr>
    </w:p>
    <w:p w14:paraId="124E73B5" w14:textId="77777777" w:rsidR="00153354" w:rsidRPr="00D856FA" w:rsidRDefault="00153354">
      <w:pPr>
        <w:rPr>
          <w:rFonts w:cs="Arial"/>
          <w:sz w:val="24"/>
          <w:szCs w:val="24"/>
        </w:rPr>
      </w:pPr>
    </w:p>
    <w:p w14:paraId="66B99F06" w14:textId="77777777" w:rsidR="00153354" w:rsidRDefault="00153354"/>
    <w:p w14:paraId="7A1692D3" w14:textId="77777777" w:rsidR="00153354" w:rsidRDefault="00153354"/>
    <w:p w14:paraId="4F0BAD33" w14:textId="77777777" w:rsidR="00F10BE2" w:rsidRDefault="00F10BE2"/>
    <w:sectPr w:rsidR="00F10BE2" w:rsidSect="00F10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DC5"/>
    <w:multiLevelType w:val="hybridMultilevel"/>
    <w:tmpl w:val="70EC7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551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54"/>
    <w:rsid w:val="0006470B"/>
    <w:rsid w:val="00065830"/>
    <w:rsid w:val="000B0953"/>
    <w:rsid w:val="00153354"/>
    <w:rsid w:val="00304CE5"/>
    <w:rsid w:val="00390B57"/>
    <w:rsid w:val="003D4168"/>
    <w:rsid w:val="003F7234"/>
    <w:rsid w:val="00483067"/>
    <w:rsid w:val="004C7556"/>
    <w:rsid w:val="00561EDE"/>
    <w:rsid w:val="005A4823"/>
    <w:rsid w:val="005D14F9"/>
    <w:rsid w:val="005E614C"/>
    <w:rsid w:val="00646D63"/>
    <w:rsid w:val="006A510B"/>
    <w:rsid w:val="006C30D1"/>
    <w:rsid w:val="007833FA"/>
    <w:rsid w:val="0079682F"/>
    <w:rsid w:val="007C61AF"/>
    <w:rsid w:val="00807E7F"/>
    <w:rsid w:val="008315F6"/>
    <w:rsid w:val="008523E0"/>
    <w:rsid w:val="008625BF"/>
    <w:rsid w:val="00873EBD"/>
    <w:rsid w:val="00977C58"/>
    <w:rsid w:val="009E15E0"/>
    <w:rsid w:val="00B53E7C"/>
    <w:rsid w:val="00BB5FDA"/>
    <w:rsid w:val="00C0625E"/>
    <w:rsid w:val="00C17233"/>
    <w:rsid w:val="00C226F7"/>
    <w:rsid w:val="00C30F28"/>
    <w:rsid w:val="00C358A8"/>
    <w:rsid w:val="00CF24D2"/>
    <w:rsid w:val="00D35AEC"/>
    <w:rsid w:val="00D677E8"/>
    <w:rsid w:val="00D856FA"/>
    <w:rsid w:val="00D86ECD"/>
    <w:rsid w:val="00E45AB8"/>
    <w:rsid w:val="00E664A6"/>
    <w:rsid w:val="00F10BE2"/>
    <w:rsid w:val="00F56184"/>
    <w:rsid w:val="00FA4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1BB1"/>
  <w15:docId w15:val="{AF560109-131B-4CAB-9F0C-B61738A0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E2"/>
  </w:style>
  <w:style w:type="paragraph" w:styleId="Heading1">
    <w:name w:val="heading 1"/>
    <w:basedOn w:val="Normal"/>
    <w:next w:val="Normal"/>
    <w:link w:val="Heading1Char"/>
    <w:uiPriority w:val="9"/>
    <w:qFormat/>
    <w:rsid w:val="001533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33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7833FA"/>
    <w:pPr>
      <w:keepNext/>
      <w:spacing w:after="0" w:line="240" w:lineRule="auto"/>
      <w:jc w:val="both"/>
      <w:outlineLvl w:val="3"/>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354"/>
    <w:rPr>
      <w:rFonts w:ascii="Tahoma" w:hAnsi="Tahoma" w:cs="Tahoma"/>
      <w:sz w:val="16"/>
      <w:szCs w:val="16"/>
    </w:rPr>
  </w:style>
  <w:style w:type="character" w:customStyle="1" w:styleId="Heading1Char">
    <w:name w:val="Heading 1 Char"/>
    <w:basedOn w:val="DefaultParagraphFont"/>
    <w:link w:val="Heading1"/>
    <w:uiPriority w:val="9"/>
    <w:rsid w:val="001533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335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53354"/>
    <w:pPr>
      <w:spacing w:after="0" w:line="240" w:lineRule="auto"/>
    </w:pPr>
  </w:style>
  <w:style w:type="paragraph" w:styleId="NormalWeb">
    <w:name w:val="Normal (Web)"/>
    <w:basedOn w:val="Normal"/>
    <w:uiPriority w:val="99"/>
    <w:semiHidden/>
    <w:unhideWhenUsed/>
    <w:rsid w:val="00D856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56FA"/>
    <w:rPr>
      <w:color w:val="0000FF"/>
      <w:u w:val="single"/>
    </w:rPr>
  </w:style>
  <w:style w:type="character" w:styleId="Strong">
    <w:name w:val="Strong"/>
    <w:basedOn w:val="DefaultParagraphFont"/>
    <w:uiPriority w:val="22"/>
    <w:qFormat/>
    <w:rsid w:val="00D856FA"/>
    <w:rPr>
      <w:b/>
      <w:bCs/>
    </w:rPr>
  </w:style>
  <w:style w:type="paragraph" w:styleId="Header">
    <w:name w:val="header"/>
    <w:basedOn w:val="Normal"/>
    <w:link w:val="HeaderChar"/>
    <w:semiHidden/>
    <w:rsid w:val="000B095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0B0953"/>
    <w:rPr>
      <w:rFonts w:ascii="Times New Roman" w:eastAsia="Times New Roman" w:hAnsi="Times New Roman" w:cs="Times New Roman"/>
      <w:sz w:val="24"/>
      <w:szCs w:val="24"/>
    </w:rPr>
  </w:style>
  <w:style w:type="table" w:styleId="TableGrid">
    <w:name w:val="Table Grid"/>
    <w:basedOn w:val="TableNormal"/>
    <w:uiPriority w:val="59"/>
    <w:rsid w:val="00D35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833FA"/>
    <w:rPr>
      <w:rFonts w:ascii="Arial" w:eastAsia="Times New Roman" w:hAnsi="Arial" w:cs="Arial"/>
      <w:sz w:val="28"/>
      <w:szCs w:val="24"/>
    </w:rPr>
  </w:style>
  <w:style w:type="character" w:styleId="FollowedHyperlink">
    <w:name w:val="FollowedHyperlink"/>
    <w:basedOn w:val="DefaultParagraphFont"/>
    <w:uiPriority w:val="99"/>
    <w:semiHidden/>
    <w:unhideWhenUsed/>
    <w:rsid w:val="003F7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6862">
      <w:bodyDiv w:val="1"/>
      <w:marLeft w:val="0"/>
      <w:marRight w:val="0"/>
      <w:marTop w:val="0"/>
      <w:marBottom w:val="0"/>
      <w:divBdr>
        <w:top w:val="none" w:sz="0" w:space="0" w:color="auto"/>
        <w:left w:val="none" w:sz="0" w:space="0" w:color="auto"/>
        <w:bottom w:val="none" w:sz="0" w:space="0" w:color="auto"/>
        <w:right w:val="none" w:sz="0" w:space="0" w:color="auto"/>
      </w:divBdr>
      <w:divsChild>
        <w:div w:id="2144695251">
          <w:marLeft w:val="0"/>
          <w:marRight w:val="0"/>
          <w:marTop w:val="0"/>
          <w:marBottom w:val="0"/>
          <w:divBdr>
            <w:top w:val="none" w:sz="0" w:space="0" w:color="auto"/>
            <w:left w:val="none" w:sz="0" w:space="0" w:color="auto"/>
            <w:bottom w:val="none" w:sz="0" w:space="0" w:color="auto"/>
            <w:right w:val="none" w:sz="0" w:space="0" w:color="auto"/>
          </w:divBdr>
          <w:divsChild>
            <w:div w:id="542519576">
              <w:marLeft w:val="0"/>
              <w:marRight w:val="0"/>
              <w:marTop w:val="0"/>
              <w:marBottom w:val="0"/>
              <w:divBdr>
                <w:top w:val="none" w:sz="0" w:space="0" w:color="auto"/>
                <w:left w:val="none" w:sz="0" w:space="0" w:color="auto"/>
                <w:bottom w:val="none" w:sz="0" w:space="0" w:color="auto"/>
                <w:right w:val="none" w:sz="0" w:space="0" w:color="auto"/>
              </w:divBdr>
              <w:divsChild>
                <w:div w:id="414665734">
                  <w:marLeft w:val="0"/>
                  <w:marRight w:val="0"/>
                  <w:marTop w:val="0"/>
                  <w:marBottom w:val="0"/>
                  <w:divBdr>
                    <w:top w:val="none" w:sz="0" w:space="0" w:color="auto"/>
                    <w:left w:val="none" w:sz="0" w:space="0" w:color="auto"/>
                    <w:bottom w:val="none" w:sz="0" w:space="0" w:color="auto"/>
                    <w:right w:val="none" w:sz="0" w:space="0" w:color="auto"/>
                  </w:divBdr>
                  <w:divsChild>
                    <w:div w:id="798186920">
                      <w:marLeft w:val="0"/>
                      <w:marRight w:val="0"/>
                      <w:marTop w:val="0"/>
                      <w:marBottom w:val="0"/>
                      <w:divBdr>
                        <w:top w:val="none" w:sz="0" w:space="0" w:color="auto"/>
                        <w:left w:val="none" w:sz="0" w:space="0" w:color="auto"/>
                        <w:bottom w:val="none" w:sz="0" w:space="0" w:color="auto"/>
                        <w:right w:val="none" w:sz="0" w:space="0" w:color="auto"/>
                      </w:divBdr>
                      <w:divsChild>
                        <w:div w:id="427191855">
                          <w:marLeft w:val="0"/>
                          <w:marRight w:val="0"/>
                          <w:marTop w:val="0"/>
                          <w:marBottom w:val="0"/>
                          <w:divBdr>
                            <w:top w:val="none" w:sz="0" w:space="0" w:color="auto"/>
                            <w:left w:val="none" w:sz="0" w:space="0" w:color="auto"/>
                            <w:bottom w:val="none" w:sz="0" w:space="0" w:color="auto"/>
                            <w:right w:val="none" w:sz="0" w:space="0" w:color="auto"/>
                          </w:divBdr>
                          <w:divsChild>
                            <w:div w:id="6901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hngraycent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hngraycentre.org/collections/h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astmap.org.uk/" TargetMode="External"/><Relationship Id="rId5" Type="http://schemas.openxmlformats.org/officeDocument/2006/relationships/webSettings" Target="webSettings.xml"/><Relationship Id="rId10" Type="http://schemas.openxmlformats.org/officeDocument/2006/relationships/hyperlink" Target="http://www.johngraycentre.org/collections/advancedsearch" TargetMode="External"/><Relationship Id="rId4" Type="http://schemas.openxmlformats.org/officeDocument/2006/relationships/settings" Target="settings.xml"/><Relationship Id="rId9" Type="http://schemas.openxmlformats.org/officeDocument/2006/relationships/hyperlink" Target="http://www.johngraycentre.org/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D16C4-2319-4967-B837-257BC5A9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1263</Words>
  <Characters>6750</Characters>
  <Application>Microsoft Office Word</Application>
  <DocSecurity>0</DocSecurity>
  <Lines>135</Lines>
  <Paragraphs>47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 Access and Charging Policy</dc:title>
  <dc:creator>S Leith</dc:creator>
  <cp:lastModifiedBy>Leith, Stephanie</cp:lastModifiedBy>
  <cp:revision>6</cp:revision>
  <cp:lastPrinted>2020-04-02T10:07:00Z</cp:lastPrinted>
  <dcterms:created xsi:type="dcterms:W3CDTF">2024-04-02T11:08:00Z</dcterms:created>
  <dcterms:modified xsi:type="dcterms:W3CDTF">2025-03-31T10:59:00Z</dcterms:modified>
</cp:coreProperties>
</file>