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0D42" w14:textId="77777777" w:rsidR="00DC7E4E" w:rsidRDefault="00DC7E4E">
      <w:pPr>
        <w:pStyle w:val="Heading1"/>
        <w:kinsoku w:val="0"/>
        <w:overflowPunct w:val="0"/>
        <w:spacing w:before="79"/>
        <w:ind w:left="178"/>
      </w:pPr>
      <w:r>
        <w:t>TOWN AND COUNTRY PLANNING (SCOTLAND) ACT</w:t>
      </w:r>
      <w:r>
        <w:rPr>
          <w:spacing w:val="-19"/>
        </w:rPr>
        <w:t xml:space="preserve"> </w:t>
      </w:r>
      <w:r>
        <w:t>1997</w:t>
      </w:r>
    </w:p>
    <w:p w14:paraId="0E0B9816" w14:textId="77777777" w:rsidR="00DC7E4E" w:rsidRDefault="00DC7E4E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DD6482D" w14:textId="42B0B65D" w:rsidR="00DC7E4E" w:rsidRDefault="00DC7E4E">
      <w:pPr>
        <w:pStyle w:val="BodyText"/>
        <w:kinsoku w:val="0"/>
        <w:overflowPunct w:val="0"/>
        <w:spacing w:line="360" w:lineRule="auto"/>
        <w:ind w:left="179" w:right="1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EAST LOTHIAN COUNCIL (</w:t>
      </w:r>
      <w:r w:rsidR="008566A0">
        <w:rPr>
          <w:b/>
          <w:bCs/>
          <w:sz w:val="24"/>
          <w:szCs w:val="24"/>
        </w:rPr>
        <w:t xml:space="preserve">WHITTINGEHAME </w:t>
      </w:r>
      <w:r>
        <w:rPr>
          <w:b/>
          <w:bCs/>
          <w:sz w:val="24"/>
          <w:szCs w:val="24"/>
        </w:rPr>
        <w:t>HOUSE, HADDINGTON, EAST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LOTHIAN)</w:t>
      </w:r>
    </w:p>
    <w:p w14:paraId="509BCB6D" w14:textId="6ECBF873" w:rsidR="00DC7E4E" w:rsidRDefault="00DC7E4E">
      <w:pPr>
        <w:pStyle w:val="Heading1"/>
        <w:kinsoku w:val="0"/>
        <w:overflowPunct w:val="0"/>
      </w:pPr>
      <w:r>
        <w:t>TREE PRESERVATION ORDER No.14</w:t>
      </w:r>
      <w:r w:rsidR="008566A0">
        <w:t>6</w:t>
      </w:r>
      <w:r>
        <w:rPr>
          <w:spacing w:val="-13"/>
        </w:rPr>
        <w:t xml:space="preserve"> </w:t>
      </w:r>
      <w:r>
        <w:t>(202</w:t>
      </w:r>
      <w:r w:rsidR="008566A0">
        <w:t>5</w:t>
      </w:r>
      <w:r>
        <w:t>)</w:t>
      </w:r>
    </w:p>
    <w:p w14:paraId="1973DE89" w14:textId="77777777" w:rsidR="007118AF" w:rsidRDefault="007118AF" w:rsidP="007118AF">
      <w:pPr>
        <w:pStyle w:val="BodyText"/>
        <w:kinsoku w:val="0"/>
        <w:overflowPunct w:val="0"/>
        <w:ind w:right="190"/>
        <w:rPr>
          <w:b/>
          <w:bCs/>
          <w:sz w:val="26"/>
          <w:szCs w:val="26"/>
        </w:rPr>
      </w:pPr>
    </w:p>
    <w:p w14:paraId="2BDE665A" w14:textId="22075807" w:rsidR="007118AF" w:rsidRDefault="00DC7E4E" w:rsidP="007118AF">
      <w:pPr>
        <w:pStyle w:val="BodyText"/>
        <w:kinsoku w:val="0"/>
        <w:overflowPunct w:val="0"/>
        <w:ind w:right="190"/>
      </w:pPr>
      <w:r>
        <w:t xml:space="preserve">Notice </w:t>
      </w:r>
      <w:r w:rsidR="008566A0">
        <w:t xml:space="preserve">is hereby given that East Lothian Council (referred to below as the “Council”) as statutory planning authority in exercise of their powers conferred upon them by Section </w:t>
      </w:r>
      <w:r w:rsidR="004B5EBF">
        <w:t xml:space="preserve">160 </w:t>
      </w:r>
      <w:r w:rsidR="008566A0">
        <w:t>of the Town and Country Planning (Scotland) Act</w:t>
      </w:r>
      <w:r w:rsidR="008566A0" w:rsidRPr="008566A0">
        <w:t xml:space="preserve"> </w:t>
      </w:r>
      <w:r w:rsidR="008566A0">
        <w:t>1997</w:t>
      </w:r>
      <w:r w:rsidR="007118AF">
        <w:t xml:space="preserve"> </w:t>
      </w:r>
      <w:r w:rsidR="007118AF" w:rsidRPr="007118AF">
        <w:t>(referred to below as the “</w:t>
      </w:r>
      <w:r w:rsidR="007118AF">
        <w:t>1997 Act</w:t>
      </w:r>
      <w:r w:rsidR="007118AF" w:rsidRPr="007118AF">
        <w:t xml:space="preserve">”) </w:t>
      </w:r>
      <w:r w:rsidR="008566A0">
        <w:t xml:space="preserve"> have made </w:t>
      </w:r>
      <w:r w:rsidR="008566A0" w:rsidRPr="008566A0">
        <w:t>The East Lothian Council (</w:t>
      </w:r>
      <w:proofErr w:type="spellStart"/>
      <w:r w:rsidR="008566A0" w:rsidRPr="008566A0">
        <w:t>Whittingehame</w:t>
      </w:r>
      <w:proofErr w:type="spellEnd"/>
      <w:r w:rsidR="008566A0" w:rsidRPr="008566A0">
        <w:t xml:space="preserve"> House, Haddington, East Lothian)</w:t>
      </w:r>
      <w:r w:rsidR="008566A0" w:rsidRPr="007118AF">
        <w:t xml:space="preserve">Tree Preservation Order </w:t>
      </w:r>
      <w:r w:rsidR="00B679CF">
        <w:t>N</w:t>
      </w:r>
      <w:r w:rsidR="008566A0" w:rsidRPr="007118AF">
        <w:t xml:space="preserve">o.146 (2025) (referred to below as the “Order”) in respect </w:t>
      </w:r>
      <w:r w:rsidR="004B5EBF">
        <w:t xml:space="preserve">of </w:t>
      </w:r>
      <w:r w:rsidR="008566A0" w:rsidRPr="007118AF">
        <w:t xml:space="preserve">two Protected Trees </w:t>
      </w:r>
      <w:r w:rsidR="007118AF">
        <w:t xml:space="preserve"> (</w:t>
      </w:r>
      <w:r w:rsidR="007118AF" w:rsidRPr="007118AF">
        <w:t>T1 and T2</w:t>
      </w:r>
      <w:r w:rsidR="007118AF">
        <w:t>)</w:t>
      </w:r>
      <w:r w:rsidR="007118AF" w:rsidRPr="007118AF">
        <w:t xml:space="preserve"> </w:t>
      </w:r>
      <w:r w:rsidR="008566A0" w:rsidRPr="007118AF">
        <w:t xml:space="preserve">as specified in the Order. </w:t>
      </w:r>
    </w:p>
    <w:p w14:paraId="1E92A0F3" w14:textId="77777777" w:rsidR="007118AF" w:rsidRDefault="007118AF" w:rsidP="007118AF">
      <w:pPr>
        <w:pStyle w:val="BodyText"/>
        <w:kinsoku w:val="0"/>
        <w:overflowPunct w:val="0"/>
        <w:ind w:right="190"/>
      </w:pPr>
    </w:p>
    <w:p w14:paraId="2B582F38" w14:textId="0EC8CEF3" w:rsidR="007118AF" w:rsidRDefault="007118AF" w:rsidP="007118AF">
      <w:r>
        <w:t xml:space="preserve">The Order takes effect on </w:t>
      </w:r>
      <w:r w:rsidR="00B679CF">
        <w:t>4</w:t>
      </w:r>
      <w:r>
        <w:t xml:space="preserve"> March 2025</w:t>
      </w:r>
      <w:r w:rsidR="004B5EBF">
        <w:t xml:space="preserve"> and provides immediate protection for</w:t>
      </w:r>
      <w:r w:rsidR="004B5EBF" w:rsidRPr="007118AF">
        <w:t xml:space="preserve"> two Protected Trees </w:t>
      </w:r>
      <w:r w:rsidR="004B5EBF">
        <w:t>(</w:t>
      </w:r>
      <w:r w:rsidR="004B5EBF" w:rsidRPr="007118AF">
        <w:t>T1 and T2</w:t>
      </w:r>
      <w:r w:rsidR="004B5EBF">
        <w:t>)</w:t>
      </w:r>
      <w:r w:rsidR="004B5EBF" w:rsidRPr="007118AF">
        <w:t xml:space="preserve"> as specified in the Order</w:t>
      </w:r>
      <w:r>
        <w:t>.</w:t>
      </w:r>
    </w:p>
    <w:p w14:paraId="146666DD" w14:textId="77777777" w:rsidR="007118AF" w:rsidRDefault="007118AF" w:rsidP="007118AF">
      <w:pPr>
        <w:pStyle w:val="BodyText"/>
        <w:kinsoku w:val="0"/>
        <w:overflowPunct w:val="0"/>
        <w:ind w:right="190"/>
      </w:pPr>
    </w:p>
    <w:p w14:paraId="2FB153AC" w14:textId="562E4C57" w:rsidR="008D08BB" w:rsidRDefault="007118AF" w:rsidP="007118AF">
      <w:pPr>
        <w:pStyle w:val="BodyText"/>
        <w:kinsoku w:val="0"/>
        <w:overflowPunct w:val="0"/>
        <w:ind w:right="190"/>
      </w:pPr>
      <w:r w:rsidRPr="007118AF">
        <w:t xml:space="preserve">In terms of </w:t>
      </w:r>
      <w:r w:rsidR="00B679CF">
        <w:t>S</w:t>
      </w:r>
      <w:r w:rsidRPr="007118AF">
        <w:t xml:space="preserve">ection 160(1) of the </w:t>
      </w:r>
      <w:r>
        <w:t xml:space="preserve">1997 </w:t>
      </w:r>
      <w:r w:rsidRPr="007118AF">
        <w:t xml:space="preserve">Act it appears to the </w:t>
      </w:r>
      <w:r>
        <w:t xml:space="preserve">Council </w:t>
      </w:r>
      <w:r w:rsidRPr="007118AF">
        <w:t xml:space="preserve">that the requirements </w:t>
      </w:r>
      <w:proofErr w:type="gramStart"/>
      <w:r w:rsidRPr="007118AF">
        <w:t xml:space="preserve">of  </w:t>
      </w:r>
      <w:r w:rsidR="004B5EBF">
        <w:t>S</w:t>
      </w:r>
      <w:r w:rsidRPr="007118AF">
        <w:t>ection</w:t>
      </w:r>
      <w:proofErr w:type="gramEnd"/>
      <w:r w:rsidRPr="007118AF">
        <w:t xml:space="preserve"> 160 (1A) (a) and (b)  of the </w:t>
      </w:r>
      <w:r>
        <w:t xml:space="preserve">1997 </w:t>
      </w:r>
      <w:r w:rsidRPr="007118AF">
        <w:t xml:space="preserve">Act are met in regard to both of the Protected Trees </w:t>
      </w:r>
      <w:r>
        <w:t>(</w:t>
      </w:r>
      <w:r w:rsidRPr="007118AF">
        <w:t>T1 and T2</w:t>
      </w:r>
      <w:r>
        <w:t>)</w:t>
      </w:r>
      <w:r w:rsidRPr="007118AF">
        <w:t xml:space="preserve"> and the making of the Order is therefore  necessary for the preservation of Protected Trees T1 and T2. </w:t>
      </w:r>
    </w:p>
    <w:p w14:paraId="796BDA79" w14:textId="77777777" w:rsidR="008D08BB" w:rsidRDefault="008D08BB" w:rsidP="007118AF">
      <w:pPr>
        <w:pStyle w:val="BodyText"/>
        <w:kinsoku w:val="0"/>
        <w:overflowPunct w:val="0"/>
        <w:ind w:right="190"/>
      </w:pPr>
    </w:p>
    <w:p w14:paraId="15EA32A1" w14:textId="24932D2E" w:rsidR="007118AF" w:rsidRDefault="007118AF" w:rsidP="007118AF">
      <w:pPr>
        <w:pStyle w:val="BodyText"/>
        <w:kinsoku w:val="0"/>
        <w:overflowPunct w:val="0"/>
        <w:ind w:right="190"/>
      </w:pPr>
      <w:r w:rsidRPr="007118AF">
        <w:t xml:space="preserve">Accordingly, it is expedient in the interests of amenity </w:t>
      </w:r>
      <w:r w:rsidR="008D08BB">
        <w:t xml:space="preserve">for the Council </w:t>
      </w:r>
      <w:r w:rsidRPr="007118AF">
        <w:t xml:space="preserve">to make the Order in relation to Protected Trees T1 and T2 and in addition, they are both of cultural and historical significance. Further </w:t>
      </w:r>
      <w:proofErr w:type="gramStart"/>
      <w:r w:rsidRPr="007118AF">
        <w:t>and in particular, the</w:t>
      </w:r>
      <w:proofErr w:type="gramEnd"/>
      <w:r w:rsidRPr="007118AF">
        <w:t xml:space="preserve"> Protected Trees T1 and T2 are important to the </w:t>
      </w:r>
      <w:proofErr w:type="spellStart"/>
      <w:r w:rsidRPr="007118AF">
        <w:t>arboricultural</w:t>
      </w:r>
      <w:proofErr w:type="spellEnd"/>
      <w:r w:rsidRPr="007118AF">
        <w:t xml:space="preserve"> heritage of </w:t>
      </w:r>
      <w:proofErr w:type="spellStart"/>
      <w:r w:rsidRPr="007118AF">
        <w:t>Whittingehame</w:t>
      </w:r>
      <w:proofErr w:type="spellEnd"/>
      <w:r w:rsidRPr="007118AF">
        <w:t xml:space="preserve"> House Garden and Designed Landscape (Reference WHITTINGEHAME GDL00385)</w:t>
      </w:r>
      <w:r>
        <w:t xml:space="preserve">. </w:t>
      </w:r>
      <w:r w:rsidR="008D08BB">
        <w:t xml:space="preserve"> </w:t>
      </w:r>
    </w:p>
    <w:p w14:paraId="57634F42" w14:textId="77777777" w:rsidR="008D08BB" w:rsidRDefault="008D08BB" w:rsidP="007118AF">
      <w:pPr>
        <w:pStyle w:val="BodyText"/>
        <w:kinsoku w:val="0"/>
        <w:overflowPunct w:val="0"/>
        <w:ind w:right="190"/>
      </w:pPr>
    </w:p>
    <w:p w14:paraId="32F6A605" w14:textId="14280BC4" w:rsidR="008D08BB" w:rsidRDefault="008D08BB" w:rsidP="007118AF">
      <w:pPr>
        <w:pStyle w:val="BodyText"/>
        <w:kinsoku w:val="0"/>
        <w:overflowPunct w:val="0"/>
        <w:ind w:right="190"/>
      </w:pPr>
      <w:r>
        <w:t xml:space="preserve">The Order has the effect of prohibiting the cutting down, topping, lopping, uprooting, wilful damaging or destruction of the </w:t>
      </w:r>
      <w:r w:rsidRPr="007118AF">
        <w:t xml:space="preserve">Protected Trees T1 and T2 </w:t>
      </w:r>
      <w:r>
        <w:t>specified in the Order.</w:t>
      </w:r>
    </w:p>
    <w:p w14:paraId="3C2B23C3" w14:textId="77777777" w:rsidR="007118AF" w:rsidRDefault="007118AF" w:rsidP="007118AF">
      <w:pPr>
        <w:pStyle w:val="BodyText"/>
        <w:kinsoku w:val="0"/>
        <w:overflowPunct w:val="0"/>
        <w:ind w:right="190"/>
      </w:pPr>
    </w:p>
    <w:p w14:paraId="0E4E036E" w14:textId="7CFAE8BE" w:rsidR="0084568E" w:rsidRDefault="007118AF" w:rsidP="0084568E">
      <w:pPr>
        <w:pStyle w:val="BodyText"/>
        <w:kinsoku w:val="0"/>
        <w:overflowPunct w:val="0"/>
        <w:ind w:right="190"/>
      </w:pPr>
      <w:r>
        <w:t>The Order can be viewed on the Councils</w:t>
      </w:r>
      <w:r w:rsidR="000E11ED">
        <w:t>’</w:t>
      </w:r>
      <w:r>
        <w:t xml:space="preserve"> website </w:t>
      </w:r>
      <w:r w:rsidR="00B679CF">
        <w:t xml:space="preserve"> </w:t>
      </w:r>
      <w:hyperlink r:id="rId8" w:history="1">
        <w:r w:rsidR="00B679CF" w:rsidRPr="00B679CF">
          <w:rPr>
            <w:rStyle w:val="Hyperlink"/>
          </w:rPr>
          <w:t>Protected Trees | Trees, TPOs and Consent for Tree Works | East Lothian Council</w:t>
        </w:r>
      </w:hyperlink>
      <w:r w:rsidR="0084568E">
        <w:t xml:space="preserve"> </w:t>
      </w:r>
    </w:p>
    <w:p w14:paraId="55B7E5BC" w14:textId="2522F85D" w:rsidR="008D08BB" w:rsidRDefault="008D08BB" w:rsidP="007118AF">
      <w:pPr>
        <w:pStyle w:val="BodyText"/>
        <w:kinsoku w:val="0"/>
        <w:overflowPunct w:val="0"/>
        <w:ind w:right="190"/>
      </w:pPr>
    </w:p>
    <w:p w14:paraId="234F0A67" w14:textId="47595DE2" w:rsidR="004B5EBF" w:rsidRPr="004224DF" w:rsidRDefault="008D08BB" w:rsidP="004B5EBF">
      <w:pPr>
        <w:pStyle w:val="BodyText"/>
        <w:kinsoku w:val="0"/>
        <w:overflowPunct w:val="0"/>
        <w:ind w:right="111"/>
        <w:jc w:val="both"/>
      </w:pP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inspected</w:t>
      </w:r>
      <w:r>
        <w:rPr>
          <w:spacing w:val="-4"/>
        </w:rPr>
        <w:t xml:space="preserve"> </w:t>
      </w:r>
      <w:r>
        <w:t>by any person, free of charge at Haddington Library, Lodge Street, Haddington during normal opening hours.</w:t>
      </w:r>
      <w:r w:rsidR="00641703">
        <w:t xml:space="preserve"> </w:t>
      </w:r>
    </w:p>
    <w:p w14:paraId="10DA30E4" w14:textId="54A4FFD6" w:rsidR="008566A0" w:rsidRDefault="008566A0" w:rsidP="00B679CF">
      <w:pPr>
        <w:pStyle w:val="Heading1"/>
        <w:kinsoku w:val="0"/>
        <w:overflowPunct w:val="0"/>
        <w:ind w:left="0"/>
        <w:jc w:val="left"/>
        <w:rPr>
          <w:b w:val="0"/>
          <w:bCs w:val="0"/>
          <w:sz w:val="22"/>
          <w:szCs w:val="22"/>
        </w:rPr>
      </w:pPr>
    </w:p>
    <w:p w14:paraId="344FED41" w14:textId="5EB2B294" w:rsidR="004224DF" w:rsidRPr="004224DF" w:rsidRDefault="00641703" w:rsidP="004224DF">
      <w:pPr>
        <w:pStyle w:val="BodyText"/>
        <w:kinsoku w:val="0"/>
        <w:overflowPunct w:val="0"/>
        <w:ind w:right="111"/>
        <w:jc w:val="both"/>
      </w:pPr>
      <w:r>
        <w:t>R</w:t>
      </w:r>
      <w:r w:rsidR="00DC7E4E">
        <w:t>epresentations with respect to the Order</w:t>
      </w:r>
      <w:r w:rsidR="004224DF">
        <w:t xml:space="preserve"> may be made to the Council in accordance with </w:t>
      </w:r>
      <w:r w:rsidR="00DC7E4E">
        <w:t xml:space="preserve">Regulation 5 of the Town </w:t>
      </w:r>
      <w:r>
        <w:t>and</w:t>
      </w:r>
      <w:r w:rsidR="00DC7E4E">
        <w:t xml:space="preserve"> Country Planning (Tree Preservation Order and Trees in Conservation Areas) (Scotland) Regulations 2010</w:t>
      </w:r>
      <w:r w:rsidR="004224DF">
        <w:t>.</w:t>
      </w:r>
      <w:r w:rsidR="004B5EBF">
        <w:t xml:space="preserve"> This means that a</w:t>
      </w:r>
      <w:r w:rsidR="004224DF">
        <w:t xml:space="preserve">ny representation must be made in writing, shall state the grounds thereof and shall specify the </w:t>
      </w:r>
      <w:proofErr w:type="gramStart"/>
      <w:r w:rsidR="004224DF">
        <w:t>particular trees</w:t>
      </w:r>
      <w:proofErr w:type="gramEnd"/>
      <w:r w:rsidR="004224DF">
        <w:t xml:space="preserve"> in respect of which the Order is made and </w:t>
      </w:r>
      <w:r w:rsidR="000E11ED">
        <w:t xml:space="preserve">any representation </w:t>
      </w:r>
      <w:r w:rsidR="004B5EBF">
        <w:t>must be</w:t>
      </w:r>
      <w:r w:rsidR="004224DF">
        <w:t xml:space="preserve"> received by the Council no later than </w:t>
      </w:r>
      <w:r w:rsidR="008F0490">
        <w:t xml:space="preserve">18 </w:t>
      </w:r>
      <w:r w:rsidR="004224DF">
        <w:t>April 2025.  R</w:t>
      </w:r>
      <w:r w:rsidR="004224DF" w:rsidRPr="004224DF">
        <w:t xml:space="preserve">epresentations should be made in writing </w:t>
      </w:r>
      <w:r w:rsidR="004B5EBF">
        <w:t xml:space="preserve">and addressed </w:t>
      </w:r>
      <w:r w:rsidR="004224DF" w:rsidRPr="004224DF">
        <w:t xml:space="preserve">to Keith Dingwall, Service Manager – Planning (Chief Planning Officer), John Muir House, Brewery Park, Haddington, or by email to </w:t>
      </w:r>
      <w:hyperlink r:id="rId9" w:history="1">
        <w:r w:rsidR="004224DF" w:rsidRPr="004224DF">
          <w:rPr>
            <w:rStyle w:val="Hyperlink"/>
          </w:rPr>
          <w:t>environment@eastlothian.gov.uk</w:t>
        </w:r>
      </w:hyperlink>
      <w:r w:rsidR="004224DF" w:rsidRPr="004224DF">
        <w:t>.</w:t>
      </w:r>
    </w:p>
    <w:p w14:paraId="06EFD141" w14:textId="77777777" w:rsidR="00DC7E4E" w:rsidRDefault="00DC7E4E">
      <w:pPr>
        <w:pStyle w:val="BodyText"/>
        <w:kinsoku w:val="0"/>
        <w:overflowPunct w:val="0"/>
        <w:rPr>
          <w:sz w:val="20"/>
          <w:szCs w:val="20"/>
        </w:rPr>
      </w:pPr>
    </w:p>
    <w:p w14:paraId="393B5459" w14:textId="704689DF" w:rsidR="00DC7E4E" w:rsidRDefault="00DC7E4E">
      <w:pPr>
        <w:pStyle w:val="BodyText"/>
        <w:kinsoku w:val="0"/>
        <w:overflowPunct w:val="0"/>
        <w:spacing w:before="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A0C4FB0" wp14:editId="05C84D34">
                <wp:simplePos x="0" y="0"/>
                <wp:positionH relativeFrom="page">
                  <wp:posOffset>5147945</wp:posOffset>
                </wp:positionH>
                <wp:positionV relativeFrom="paragraph">
                  <wp:posOffset>182245</wp:posOffset>
                </wp:positionV>
                <wp:extent cx="1168400" cy="469900"/>
                <wp:effectExtent l="0" t="0" r="0" b="0"/>
                <wp:wrapTopAndBottom/>
                <wp:docPr id="217314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B546A" w14:textId="19A7B9F6" w:rsidR="00DC7E4E" w:rsidRDefault="00DC7E4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622E5C" w14:textId="77777777" w:rsidR="00DC7E4E" w:rsidRDefault="00DC7E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4FB0" id="Rectangle 2" o:spid="_x0000_s1026" style="position:absolute;margin-left:405.35pt;margin-top:14.35pt;width:92pt;height:3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" o:allowincell="f" filled="f" stroked="f">
                <v:textbox inset="0,0,0,0">
                  <w:txbxContent>
                    <w:p w14:paraId="347B546A" w14:textId="19A7B9F6" w:rsidR="00DC7E4E" w:rsidRDefault="00DC7E4E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622E5C" w14:textId="77777777" w:rsidR="00DC7E4E" w:rsidRDefault="00DC7E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41FBAD7" w14:textId="77777777" w:rsidR="00DC7E4E" w:rsidRDefault="00DC7E4E" w:rsidP="004B5EBF">
      <w:pPr>
        <w:pStyle w:val="BodyText"/>
        <w:kinsoku w:val="0"/>
        <w:overflowPunct w:val="0"/>
        <w:spacing w:before="180"/>
        <w:ind w:left="5258" w:right="111"/>
      </w:pPr>
      <w:r>
        <w:t>Proper Officer of East Lothian Council Services Manager -</w:t>
      </w:r>
      <w:r>
        <w:rPr>
          <w:spacing w:val="-13"/>
        </w:rPr>
        <w:t xml:space="preserve"> </w:t>
      </w:r>
      <w:r>
        <w:t>Governance</w:t>
      </w:r>
    </w:p>
    <w:p w14:paraId="404FA226" w14:textId="78B16300" w:rsidR="00DC7E4E" w:rsidRDefault="00B679CF">
      <w:pPr>
        <w:pStyle w:val="BodyText"/>
        <w:kinsoku w:val="0"/>
        <w:overflowPunct w:val="0"/>
        <w:ind w:right="113"/>
        <w:jc w:val="right"/>
      </w:pPr>
      <w:r>
        <w:t>4</w:t>
      </w:r>
      <w:r w:rsidR="00DC7E4E">
        <w:t xml:space="preserve"> </w:t>
      </w:r>
      <w:r w:rsidR="004B5EBF">
        <w:t>March</w:t>
      </w:r>
      <w:r w:rsidR="00DC7E4E">
        <w:rPr>
          <w:spacing w:val="-6"/>
        </w:rPr>
        <w:t xml:space="preserve"> </w:t>
      </w:r>
      <w:r w:rsidR="00DC7E4E">
        <w:t>202</w:t>
      </w:r>
      <w:r w:rsidR="004B5EBF">
        <w:t>5</w:t>
      </w:r>
    </w:p>
    <w:sectPr w:rsidR="00DC7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340" w:right="168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3631" w14:textId="77777777" w:rsidR="00DC7E4E" w:rsidRDefault="00DC7E4E" w:rsidP="00DC7E4E">
      <w:r>
        <w:separator/>
      </w:r>
    </w:p>
  </w:endnote>
  <w:endnote w:type="continuationSeparator" w:id="0">
    <w:p w14:paraId="788E3843" w14:textId="77777777" w:rsidR="00DC7E4E" w:rsidRDefault="00DC7E4E" w:rsidP="00DC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EF43" w14:textId="77777777" w:rsidR="0084568E" w:rsidRDefault="00845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56CB" w14:textId="77777777" w:rsidR="0084568E" w:rsidRDefault="00845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8AFD" w14:textId="77777777" w:rsidR="0084568E" w:rsidRDefault="00845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FFA0" w14:textId="77777777" w:rsidR="00DC7E4E" w:rsidRDefault="00DC7E4E" w:rsidP="00DC7E4E">
      <w:r>
        <w:separator/>
      </w:r>
    </w:p>
  </w:footnote>
  <w:footnote w:type="continuationSeparator" w:id="0">
    <w:p w14:paraId="0378134B" w14:textId="77777777" w:rsidR="00DC7E4E" w:rsidRDefault="00DC7E4E" w:rsidP="00DC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EFF9" w14:textId="77777777" w:rsidR="0084568E" w:rsidRDefault="00845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31F1" w14:textId="77777777" w:rsidR="0084568E" w:rsidRDefault="00845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AB81" w14:textId="77777777" w:rsidR="0084568E" w:rsidRDefault="00845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80" w:hanging="360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1180" w:hanging="348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757" w:hanging="348"/>
      </w:pPr>
    </w:lvl>
    <w:lvl w:ilvl="3">
      <w:numFmt w:val="bullet"/>
      <w:lvlText w:val="•"/>
      <w:lvlJc w:val="left"/>
      <w:pPr>
        <w:ind w:left="3545" w:hanging="348"/>
      </w:pPr>
    </w:lvl>
    <w:lvl w:ilvl="4">
      <w:numFmt w:val="bullet"/>
      <w:lvlText w:val="•"/>
      <w:lvlJc w:val="left"/>
      <w:pPr>
        <w:ind w:left="4334" w:hanging="348"/>
      </w:pPr>
    </w:lvl>
    <w:lvl w:ilvl="5">
      <w:numFmt w:val="bullet"/>
      <w:lvlText w:val="•"/>
      <w:lvlJc w:val="left"/>
      <w:pPr>
        <w:ind w:left="5123" w:hanging="348"/>
      </w:pPr>
    </w:lvl>
    <w:lvl w:ilvl="6">
      <w:numFmt w:val="bullet"/>
      <w:lvlText w:val="•"/>
      <w:lvlJc w:val="left"/>
      <w:pPr>
        <w:ind w:left="5911" w:hanging="348"/>
      </w:pPr>
    </w:lvl>
    <w:lvl w:ilvl="7">
      <w:numFmt w:val="bullet"/>
      <w:lvlText w:val="•"/>
      <w:lvlJc w:val="left"/>
      <w:pPr>
        <w:ind w:left="6700" w:hanging="348"/>
      </w:pPr>
    </w:lvl>
    <w:lvl w:ilvl="8">
      <w:numFmt w:val="bullet"/>
      <w:lvlText w:val="•"/>
      <w:lvlJc w:val="left"/>
      <w:pPr>
        <w:ind w:left="7489" w:hanging="348"/>
      </w:pPr>
    </w:lvl>
  </w:abstractNum>
  <w:num w:numId="1" w16cid:durableId="109583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9"/>
    <w:rsid w:val="000E11ED"/>
    <w:rsid w:val="000E760C"/>
    <w:rsid w:val="00210A4B"/>
    <w:rsid w:val="00220D8C"/>
    <w:rsid w:val="003A58EA"/>
    <w:rsid w:val="004224DF"/>
    <w:rsid w:val="004B5EBF"/>
    <w:rsid w:val="00543FA8"/>
    <w:rsid w:val="006357FF"/>
    <w:rsid w:val="00641703"/>
    <w:rsid w:val="006A11E5"/>
    <w:rsid w:val="006F1179"/>
    <w:rsid w:val="007118AF"/>
    <w:rsid w:val="007D643C"/>
    <w:rsid w:val="0084568E"/>
    <w:rsid w:val="008566A0"/>
    <w:rsid w:val="00891425"/>
    <w:rsid w:val="008D08BB"/>
    <w:rsid w:val="008F0490"/>
    <w:rsid w:val="008F34B4"/>
    <w:rsid w:val="0095219B"/>
    <w:rsid w:val="00961E03"/>
    <w:rsid w:val="00B4132D"/>
    <w:rsid w:val="00B679CF"/>
    <w:rsid w:val="00B93616"/>
    <w:rsid w:val="00DC7E4E"/>
    <w:rsid w:val="00F1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ACA42"/>
  <w14:defaultImageDpi w14:val="0"/>
  <w15:docId w15:val="{5EB21699-9FAF-403F-86C9-7791DDE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77" w:right="19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4E"/>
    <w:rPr>
      <w:rFonts w:ascii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7E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4E"/>
    <w:rPr>
      <w:rFonts w:ascii="Arial" w:hAnsi="Arial" w:cs="Arial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224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219B"/>
    <w:pPr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456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info/210547/planning_and_building_standards/12249/trees_tpos_and_consent_for_tree_works/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vironment@eastlothian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 M A T T E R S ! 3 9 2 6 6 3 3 6 . 1 < / d o c u m e n t i d >  
     < s e n d e r i d > A J M C < / s e n d e r i d >  
     < s e n d e r e m a i l > A L A S T A I R . M C K I E @ A N D E R S O N S T R A T H E R N . C O . U K < / s e n d e r e m a i l >  
     < l a s t m o d i f i e d > 2 0 2 5 - 0 3 - 0 4 T 1 1 : 5 2 : 0 0 . 0 0 0 0 0 0 0 + 0 0 : 0 0 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0F9369D0-2992-40DD-8CF5-1BB8597343A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Notice - Tree Preservation Order (TPO) No.147 (2023) (electronically signed).docx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Notice - Tree Preservation Order (TPO) No.147 (2023) (electronically signed).docx</dc:title>
  <dc:subject/>
  <dc:creator>haquf</dc:creator>
  <cp:keywords/>
  <dc:description/>
  <cp:lastModifiedBy>Barson, Thelma</cp:lastModifiedBy>
  <cp:revision>6</cp:revision>
  <cp:lastPrinted>2025-02-27T14:55:00Z</cp:lastPrinted>
  <dcterms:created xsi:type="dcterms:W3CDTF">2025-03-04T09:06:00Z</dcterms:created>
  <dcterms:modified xsi:type="dcterms:W3CDTF">2025-03-06T09:12:00Z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#39266336v1&lt;MATTERS&gt; - TPO No 146 Notice (signed electronically) 4.3.25</vt:lpwstr>
  </property>
</Properties>
</file>